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57" w:rsidRPr="00B719BF" w:rsidRDefault="00D47AA9" w:rsidP="00B719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Dysproporcje między listami</w:t>
      </w:r>
      <w:r w:rsidR="00037DA8">
        <w:rPr>
          <w:b/>
          <w:i/>
          <w:sz w:val="28"/>
          <w:szCs w:val="28"/>
        </w:rPr>
        <w:t xml:space="preserve"> </w:t>
      </w:r>
      <w:r w:rsidR="00FA5C57" w:rsidRPr="00B719BF">
        <w:rPr>
          <w:b/>
          <w:i/>
          <w:sz w:val="28"/>
          <w:szCs w:val="28"/>
        </w:rPr>
        <w:t>czasopism</w:t>
      </w:r>
      <w:r w:rsidR="00B20019">
        <w:rPr>
          <w:b/>
          <w:i/>
          <w:sz w:val="28"/>
          <w:szCs w:val="28"/>
        </w:rPr>
        <w:t xml:space="preserve"> punktowanych</w:t>
      </w:r>
    </w:p>
    <w:p w:rsidR="005F0ED3" w:rsidRDefault="00EE4C69">
      <w:pPr>
        <w:rPr>
          <w:sz w:val="24"/>
          <w:szCs w:val="24"/>
        </w:rPr>
      </w:pPr>
      <w:r>
        <w:rPr>
          <w:sz w:val="24"/>
          <w:szCs w:val="24"/>
        </w:rPr>
        <w:t>Bardzo i</w:t>
      </w:r>
      <w:r w:rsidR="00D00082">
        <w:rPr>
          <w:sz w:val="24"/>
          <w:szCs w:val="24"/>
        </w:rPr>
        <w:t>stotn</w:t>
      </w:r>
      <w:r w:rsidR="000247F1">
        <w:rPr>
          <w:sz w:val="24"/>
          <w:szCs w:val="24"/>
        </w:rPr>
        <w:t xml:space="preserve">ą </w:t>
      </w:r>
      <w:r w:rsidR="00D00082">
        <w:rPr>
          <w:sz w:val="24"/>
          <w:szCs w:val="24"/>
        </w:rPr>
        <w:t>wad</w:t>
      </w:r>
      <w:r w:rsidR="000247F1">
        <w:rPr>
          <w:sz w:val="24"/>
          <w:szCs w:val="24"/>
        </w:rPr>
        <w:t>ą</w:t>
      </w:r>
      <w:r w:rsidR="00D00082">
        <w:rPr>
          <w:sz w:val="24"/>
          <w:szCs w:val="24"/>
        </w:rPr>
        <w:t xml:space="preserve"> stosowane</w:t>
      </w:r>
      <w:r>
        <w:rPr>
          <w:sz w:val="24"/>
          <w:szCs w:val="24"/>
        </w:rPr>
        <w:t>j</w:t>
      </w:r>
      <w:r w:rsidR="00D00082">
        <w:rPr>
          <w:sz w:val="24"/>
          <w:szCs w:val="24"/>
        </w:rPr>
        <w:t xml:space="preserve"> punktacji czasopism naukowych </w:t>
      </w:r>
      <w:r w:rsidR="000247F1">
        <w:rPr>
          <w:sz w:val="24"/>
          <w:szCs w:val="24"/>
        </w:rPr>
        <w:t xml:space="preserve">jest fakt, </w:t>
      </w:r>
      <w:r w:rsidRPr="00E511F6">
        <w:rPr>
          <w:sz w:val="24"/>
          <w:szCs w:val="24"/>
        </w:rPr>
        <w:t xml:space="preserve">że </w:t>
      </w:r>
      <w:r w:rsidR="00C80FA1" w:rsidRPr="00E511F6">
        <w:rPr>
          <w:sz w:val="24"/>
          <w:szCs w:val="24"/>
        </w:rPr>
        <w:t xml:space="preserve">istnieją </w:t>
      </w:r>
      <w:r w:rsidR="00C80FA1" w:rsidRPr="00E511F6">
        <w:rPr>
          <w:b/>
          <w:sz w:val="24"/>
          <w:szCs w:val="24"/>
        </w:rPr>
        <w:t>duże dysproporcje</w:t>
      </w:r>
      <w:r w:rsidR="00C80FA1" w:rsidRPr="00E511F6">
        <w:rPr>
          <w:sz w:val="24"/>
          <w:szCs w:val="24"/>
        </w:rPr>
        <w:t xml:space="preserve"> między </w:t>
      </w:r>
      <w:r w:rsidR="00D00082" w:rsidRPr="00E511F6">
        <w:rPr>
          <w:sz w:val="24"/>
          <w:szCs w:val="24"/>
        </w:rPr>
        <w:t>li</w:t>
      </w:r>
      <w:r w:rsidRPr="00E511F6">
        <w:rPr>
          <w:sz w:val="24"/>
          <w:szCs w:val="24"/>
        </w:rPr>
        <w:t>st</w:t>
      </w:r>
      <w:r w:rsidR="00C80FA1" w:rsidRPr="00E511F6">
        <w:rPr>
          <w:sz w:val="24"/>
          <w:szCs w:val="24"/>
        </w:rPr>
        <w:t>ami</w:t>
      </w:r>
      <w:r w:rsidRPr="00E511F6">
        <w:rPr>
          <w:sz w:val="24"/>
          <w:szCs w:val="24"/>
        </w:rPr>
        <w:t xml:space="preserve"> </w:t>
      </w:r>
      <w:r w:rsidR="00D00082" w:rsidRPr="00E511F6">
        <w:rPr>
          <w:sz w:val="24"/>
          <w:szCs w:val="24"/>
        </w:rPr>
        <w:t>czasopism przypisany</w:t>
      </w:r>
      <w:r w:rsidR="00C80FA1" w:rsidRPr="00E511F6">
        <w:rPr>
          <w:sz w:val="24"/>
          <w:szCs w:val="24"/>
        </w:rPr>
        <w:t>mi</w:t>
      </w:r>
      <w:r w:rsidR="00D00082" w:rsidRPr="00E511F6">
        <w:rPr>
          <w:sz w:val="24"/>
          <w:szCs w:val="24"/>
        </w:rPr>
        <w:t xml:space="preserve"> do różnych dyscyplin naukowych</w:t>
      </w:r>
      <w:r w:rsidR="00C80FA1">
        <w:rPr>
          <w:b/>
          <w:sz w:val="24"/>
          <w:szCs w:val="24"/>
        </w:rPr>
        <w:t xml:space="preserve"> </w:t>
      </w:r>
      <w:r w:rsidR="00D47AA9" w:rsidRPr="00A638B8">
        <w:rPr>
          <w:sz w:val="24"/>
          <w:szCs w:val="24"/>
        </w:rPr>
        <w:t xml:space="preserve">dotyczące </w:t>
      </w:r>
      <w:r w:rsidR="00C80FA1" w:rsidRPr="00A638B8">
        <w:rPr>
          <w:b/>
          <w:sz w:val="24"/>
          <w:szCs w:val="24"/>
        </w:rPr>
        <w:t>podział</w:t>
      </w:r>
      <w:r w:rsidR="00D47AA9" w:rsidRPr="00A638B8">
        <w:rPr>
          <w:b/>
          <w:sz w:val="24"/>
          <w:szCs w:val="24"/>
        </w:rPr>
        <w:t>u</w:t>
      </w:r>
      <w:r w:rsidR="00C80FA1" w:rsidRPr="00A638B8">
        <w:rPr>
          <w:b/>
          <w:sz w:val="24"/>
          <w:szCs w:val="24"/>
        </w:rPr>
        <w:t xml:space="preserve"> na kategorie punktowe</w:t>
      </w:r>
      <w:r w:rsidR="00C80FA1">
        <w:rPr>
          <w:b/>
          <w:sz w:val="24"/>
          <w:szCs w:val="24"/>
        </w:rPr>
        <w:t xml:space="preserve">. </w:t>
      </w:r>
      <w:r w:rsidR="00852C72">
        <w:rPr>
          <w:sz w:val="24"/>
          <w:szCs w:val="24"/>
        </w:rPr>
        <w:t xml:space="preserve">Jeśli chcemy </w:t>
      </w:r>
      <w:r w:rsidR="003B154C">
        <w:rPr>
          <w:sz w:val="24"/>
          <w:szCs w:val="24"/>
        </w:rPr>
        <w:t xml:space="preserve">naprawdę </w:t>
      </w:r>
      <w:r w:rsidR="00852C72">
        <w:rPr>
          <w:sz w:val="24"/>
          <w:szCs w:val="24"/>
        </w:rPr>
        <w:t xml:space="preserve">„naprawić naukę”, trzeba ten problem usunąć, </w:t>
      </w:r>
      <w:r>
        <w:rPr>
          <w:sz w:val="24"/>
          <w:szCs w:val="24"/>
        </w:rPr>
        <w:t xml:space="preserve">ponieważ </w:t>
      </w:r>
      <w:r w:rsidR="00D7347B">
        <w:rPr>
          <w:sz w:val="24"/>
          <w:szCs w:val="24"/>
        </w:rPr>
        <w:t xml:space="preserve">wypacza </w:t>
      </w:r>
      <w:r w:rsidR="00852C72">
        <w:rPr>
          <w:sz w:val="24"/>
          <w:szCs w:val="24"/>
        </w:rPr>
        <w:t xml:space="preserve">on </w:t>
      </w:r>
      <w:r>
        <w:rPr>
          <w:sz w:val="24"/>
          <w:szCs w:val="24"/>
        </w:rPr>
        <w:t>ocen</w:t>
      </w:r>
      <w:r w:rsidR="00D7347B">
        <w:rPr>
          <w:sz w:val="24"/>
          <w:szCs w:val="24"/>
        </w:rPr>
        <w:t>ę</w:t>
      </w:r>
      <w:r>
        <w:rPr>
          <w:sz w:val="24"/>
          <w:szCs w:val="24"/>
        </w:rPr>
        <w:t xml:space="preserve"> działalności naukowej zawsze </w:t>
      </w:r>
      <w:r w:rsidR="00D7347B">
        <w:rPr>
          <w:sz w:val="24"/>
          <w:szCs w:val="24"/>
        </w:rPr>
        <w:t xml:space="preserve">wtedy </w:t>
      </w:r>
      <w:r w:rsidR="0083273E">
        <w:rPr>
          <w:sz w:val="24"/>
          <w:szCs w:val="24"/>
        </w:rPr>
        <w:t xml:space="preserve">gdy </w:t>
      </w:r>
      <w:r w:rsidR="00330146">
        <w:rPr>
          <w:sz w:val="24"/>
          <w:szCs w:val="24"/>
        </w:rPr>
        <w:t>porównuje się</w:t>
      </w:r>
      <w:r w:rsidR="00D7347B">
        <w:rPr>
          <w:sz w:val="24"/>
          <w:szCs w:val="24"/>
        </w:rPr>
        <w:t xml:space="preserve"> </w:t>
      </w:r>
      <w:r w:rsidR="00330146">
        <w:rPr>
          <w:sz w:val="24"/>
          <w:szCs w:val="24"/>
        </w:rPr>
        <w:t xml:space="preserve">dokonania </w:t>
      </w:r>
      <w:r w:rsidR="000247F1">
        <w:rPr>
          <w:sz w:val="24"/>
          <w:szCs w:val="24"/>
        </w:rPr>
        <w:t>przedstawiciel</w:t>
      </w:r>
      <w:r w:rsidR="00330146">
        <w:rPr>
          <w:sz w:val="24"/>
          <w:szCs w:val="24"/>
        </w:rPr>
        <w:t>i</w:t>
      </w:r>
      <w:r w:rsidR="000247F1">
        <w:rPr>
          <w:sz w:val="24"/>
          <w:szCs w:val="24"/>
        </w:rPr>
        <w:t xml:space="preserve"> różnych dyscyplin, a tak </w:t>
      </w:r>
      <w:r w:rsidR="005B5860">
        <w:rPr>
          <w:sz w:val="24"/>
          <w:szCs w:val="24"/>
        </w:rPr>
        <w:t xml:space="preserve">jest </w:t>
      </w:r>
      <w:r w:rsidR="00D7347B">
        <w:rPr>
          <w:sz w:val="24"/>
          <w:szCs w:val="24"/>
        </w:rPr>
        <w:t>na co dzień.</w:t>
      </w:r>
    </w:p>
    <w:p w:rsidR="00D00082" w:rsidRDefault="00C80FA1">
      <w:pPr>
        <w:rPr>
          <w:sz w:val="24"/>
          <w:szCs w:val="24"/>
        </w:rPr>
      </w:pPr>
      <w:r>
        <w:rPr>
          <w:sz w:val="24"/>
          <w:szCs w:val="24"/>
        </w:rPr>
        <w:t xml:space="preserve">Na listach </w:t>
      </w:r>
      <w:r w:rsidR="00A638B8">
        <w:rPr>
          <w:sz w:val="24"/>
          <w:szCs w:val="24"/>
        </w:rPr>
        <w:t xml:space="preserve">czasopism w różnych dyscyplinach </w:t>
      </w:r>
      <w:r>
        <w:rPr>
          <w:sz w:val="24"/>
          <w:szCs w:val="24"/>
        </w:rPr>
        <w:t>p</w:t>
      </w:r>
      <w:r w:rsidR="00DC7844">
        <w:rPr>
          <w:sz w:val="24"/>
          <w:szCs w:val="24"/>
        </w:rPr>
        <w:t>ojawiają się wprawdzie takie same k</w:t>
      </w:r>
      <w:r w:rsidR="00ED263F">
        <w:rPr>
          <w:sz w:val="24"/>
          <w:szCs w:val="24"/>
        </w:rPr>
        <w:t xml:space="preserve">ategorie </w:t>
      </w:r>
      <w:r w:rsidR="00EE4C69">
        <w:rPr>
          <w:sz w:val="24"/>
          <w:szCs w:val="24"/>
        </w:rPr>
        <w:t xml:space="preserve">punktowe </w:t>
      </w:r>
      <w:r w:rsidR="00ED263F">
        <w:rPr>
          <w:sz w:val="24"/>
          <w:szCs w:val="24"/>
        </w:rPr>
        <w:t xml:space="preserve">(200, 140, 100, 70, 40, 20), </w:t>
      </w:r>
      <w:r w:rsidR="00852C72">
        <w:rPr>
          <w:sz w:val="24"/>
          <w:szCs w:val="24"/>
        </w:rPr>
        <w:t xml:space="preserve">ale </w:t>
      </w:r>
      <w:r w:rsidR="00A638B8" w:rsidRPr="00A638B8">
        <w:rPr>
          <w:b/>
          <w:sz w:val="24"/>
          <w:szCs w:val="24"/>
        </w:rPr>
        <w:t>odsetki publikacji</w:t>
      </w:r>
      <w:r w:rsidR="00A638B8">
        <w:rPr>
          <w:sz w:val="24"/>
          <w:szCs w:val="24"/>
        </w:rPr>
        <w:t xml:space="preserve"> na świecie w tych kategoriach są już zgoła inne w różnych dyscyplinach. Spore rozbieżności występują już </w:t>
      </w:r>
      <w:r w:rsidR="004644A6">
        <w:rPr>
          <w:sz w:val="24"/>
          <w:szCs w:val="24"/>
        </w:rPr>
        <w:t xml:space="preserve">na poziomie liczb czasopism: </w:t>
      </w:r>
      <w:r w:rsidR="00A638B8" w:rsidRPr="00A638B8">
        <w:rPr>
          <w:b/>
          <w:sz w:val="24"/>
          <w:szCs w:val="24"/>
        </w:rPr>
        <w:t>odsetk</w:t>
      </w:r>
      <w:r w:rsidR="004644A6">
        <w:rPr>
          <w:b/>
          <w:sz w:val="24"/>
          <w:szCs w:val="24"/>
        </w:rPr>
        <w:t>i</w:t>
      </w:r>
      <w:r w:rsidR="00A638B8" w:rsidRPr="00A638B8">
        <w:rPr>
          <w:b/>
          <w:sz w:val="24"/>
          <w:szCs w:val="24"/>
        </w:rPr>
        <w:t xml:space="preserve"> czasopism</w:t>
      </w:r>
      <w:r w:rsidR="00A638B8">
        <w:rPr>
          <w:sz w:val="24"/>
          <w:szCs w:val="24"/>
        </w:rPr>
        <w:t xml:space="preserve"> w </w:t>
      </w:r>
      <w:r w:rsidR="004644A6">
        <w:rPr>
          <w:sz w:val="24"/>
          <w:szCs w:val="24"/>
        </w:rPr>
        <w:t xml:space="preserve">wyżej wymienionych </w:t>
      </w:r>
      <w:r w:rsidR="00A638B8">
        <w:rPr>
          <w:sz w:val="24"/>
          <w:szCs w:val="24"/>
        </w:rPr>
        <w:t xml:space="preserve">kategoriach </w:t>
      </w:r>
      <w:r w:rsidR="004644A6">
        <w:rPr>
          <w:sz w:val="24"/>
          <w:szCs w:val="24"/>
        </w:rPr>
        <w:t>punktowych (</w:t>
      </w:r>
      <w:r w:rsidR="00A638B8">
        <w:rPr>
          <w:sz w:val="24"/>
          <w:szCs w:val="24"/>
        </w:rPr>
        <w:t>200, 140, 100, 70, 40, 20</w:t>
      </w:r>
      <w:r w:rsidR="004644A6">
        <w:rPr>
          <w:sz w:val="24"/>
          <w:szCs w:val="24"/>
        </w:rPr>
        <w:t>)</w:t>
      </w:r>
      <w:r w:rsidR="00A638B8">
        <w:rPr>
          <w:sz w:val="24"/>
          <w:szCs w:val="24"/>
        </w:rPr>
        <w:t xml:space="preserve"> w różnych dyscyplinach</w:t>
      </w:r>
      <w:r w:rsidR="004644A6">
        <w:rPr>
          <w:sz w:val="24"/>
          <w:szCs w:val="24"/>
        </w:rPr>
        <w:t xml:space="preserve"> są istotnie różne</w:t>
      </w:r>
      <w:r w:rsidR="00A638B8">
        <w:rPr>
          <w:sz w:val="24"/>
          <w:szCs w:val="24"/>
        </w:rPr>
        <w:t xml:space="preserve">, ale </w:t>
      </w:r>
      <w:r w:rsidR="00DC7844">
        <w:rPr>
          <w:sz w:val="24"/>
          <w:szCs w:val="24"/>
        </w:rPr>
        <w:t xml:space="preserve">dysproporcje w odniesieniu do </w:t>
      </w:r>
      <w:r w:rsidR="00D00CD7">
        <w:rPr>
          <w:sz w:val="24"/>
          <w:szCs w:val="24"/>
        </w:rPr>
        <w:t xml:space="preserve">liczb </w:t>
      </w:r>
      <w:r w:rsidR="00DC7844">
        <w:rPr>
          <w:sz w:val="24"/>
          <w:szCs w:val="24"/>
        </w:rPr>
        <w:t>publikacji są znacznie większe</w:t>
      </w:r>
      <w:r w:rsidR="00A638B8">
        <w:rPr>
          <w:sz w:val="24"/>
          <w:szCs w:val="24"/>
        </w:rPr>
        <w:t xml:space="preserve">. Co więcej, </w:t>
      </w:r>
      <w:r w:rsidR="003F08CF">
        <w:rPr>
          <w:sz w:val="24"/>
          <w:szCs w:val="24"/>
        </w:rPr>
        <w:t>są to dane w pełni obiektywne</w:t>
      </w:r>
      <w:r w:rsidR="00A638B8">
        <w:rPr>
          <w:sz w:val="24"/>
          <w:szCs w:val="24"/>
        </w:rPr>
        <w:t>, opisane</w:t>
      </w:r>
      <w:r w:rsidR="006069B6">
        <w:rPr>
          <w:sz w:val="24"/>
          <w:szCs w:val="24"/>
        </w:rPr>
        <w:t xml:space="preserve"> </w:t>
      </w:r>
      <w:r w:rsidR="00A638B8">
        <w:rPr>
          <w:sz w:val="24"/>
          <w:szCs w:val="24"/>
        </w:rPr>
        <w:t>liczbowo w</w:t>
      </w:r>
      <w:r w:rsidR="006069B6">
        <w:rPr>
          <w:sz w:val="24"/>
          <w:szCs w:val="24"/>
        </w:rPr>
        <w:t xml:space="preserve"> dalszej części tek</w:t>
      </w:r>
      <w:r w:rsidR="004644A6">
        <w:rPr>
          <w:sz w:val="24"/>
          <w:szCs w:val="24"/>
        </w:rPr>
        <w:t>s</w:t>
      </w:r>
      <w:r w:rsidR="006069B6">
        <w:rPr>
          <w:sz w:val="24"/>
          <w:szCs w:val="24"/>
        </w:rPr>
        <w:t>tu.</w:t>
      </w:r>
      <w:r w:rsidR="00A638B8">
        <w:rPr>
          <w:sz w:val="24"/>
          <w:szCs w:val="24"/>
        </w:rPr>
        <w:t xml:space="preserve"> Dla zobrazowania problemu:</w:t>
      </w:r>
      <w:r w:rsidR="00790793">
        <w:rPr>
          <w:sz w:val="24"/>
          <w:szCs w:val="24"/>
        </w:rPr>
        <w:t xml:space="preserve"> </w:t>
      </w:r>
      <w:r w:rsidR="00C62954">
        <w:rPr>
          <w:sz w:val="24"/>
          <w:szCs w:val="24"/>
        </w:rPr>
        <w:t>we wszystkich czasopismach</w:t>
      </w:r>
      <w:r w:rsidR="00DC7844">
        <w:rPr>
          <w:sz w:val="24"/>
          <w:szCs w:val="24"/>
        </w:rPr>
        <w:t xml:space="preserve"> </w:t>
      </w:r>
      <w:r w:rsidR="00C62954">
        <w:rPr>
          <w:sz w:val="24"/>
          <w:szCs w:val="24"/>
        </w:rPr>
        <w:t>za 200 pkt z</w:t>
      </w:r>
      <w:r w:rsidR="005059B0">
        <w:rPr>
          <w:sz w:val="24"/>
          <w:szCs w:val="24"/>
        </w:rPr>
        <w:t xml:space="preserve"> </w:t>
      </w:r>
      <w:r w:rsidR="00A67DF9">
        <w:rPr>
          <w:sz w:val="24"/>
          <w:szCs w:val="24"/>
        </w:rPr>
        <w:t>matematycznej</w:t>
      </w:r>
      <w:r w:rsidR="00790793">
        <w:rPr>
          <w:sz w:val="24"/>
          <w:szCs w:val="24"/>
        </w:rPr>
        <w:t xml:space="preserve"> listy czasopism</w:t>
      </w:r>
      <w:r w:rsidR="005059B0">
        <w:rPr>
          <w:sz w:val="24"/>
          <w:szCs w:val="24"/>
        </w:rPr>
        <w:t xml:space="preserve"> publikuje się</w:t>
      </w:r>
      <w:r w:rsidR="00A67DF9">
        <w:rPr>
          <w:sz w:val="24"/>
          <w:szCs w:val="24"/>
        </w:rPr>
        <w:t xml:space="preserve"> na świecie</w:t>
      </w:r>
      <w:r w:rsidR="005059B0">
        <w:rPr>
          <w:sz w:val="24"/>
          <w:szCs w:val="24"/>
        </w:rPr>
        <w:t xml:space="preserve"> mniej więcej tyle prac </w:t>
      </w:r>
      <w:r w:rsidR="006069B6">
        <w:rPr>
          <w:sz w:val="24"/>
          <w:szCs w:val="24"/>
        </w:rPr>
        <w:t xml:space="preserve">(około 3 700 rocznie) </w:t>
      </w:r>
      <w:r w:rsidR="005059B0">
        <w:rPr>
          <w:sz w:val="24"/>
          <w:szCs w:val="24"/>
        </w:rPr>
        <w:t xml:space="preserve">ile </w:t>
      </w:r>
      <w:r w:rsidR="005A22D4">
        <w:rPr>
          <w:sz w:val="24"/>
          <w:szCs w:val="24"/>
        </w:rPr>
        <w:t xml:space="preserve">tylko </w:t>
      </w:r>
      <w:r w:rsidR="005059B0">
        <w:rPr>
          <w:sz w:val="24"/>
          <w:szCs w:val="24"/>
        </w:rPr>
        <w:t xml:space="preserve">w jednym czasopiśmie </w:t>
      </w:r>
      <w:r w:rsidR="00C62954">
        <w:rPr>
          <w:sz w:val="24"/>
          <w:szCs w:val="24"/>
        </w:rPr>
        <w:t>z</w:t>
      </w:r>
      <w:r w:rsidR="005059B0">
        <w:rPr>
          <w:sz w:val="24"/>
          <w:szCs w:val="24"/>
        </w:rPr>
        <w:t xml:space="preserve"> li</w:t>
      </w:r>
      <w:r w:rsidR="00C62954">
        <w:rPr>
          <w:sz w:val="24"/>
          <w:szCs w:val="24"/>
        </w:rPr>
        <w:t>sty</w:t>
      </w:r>
      <w:r w:rsidR="005A22D4">
        <w:rPr>
          <w:sz w:val="24"/>
          <w:szCs w:val="24"/>
        </w:rPr>
        <w:t xml:space="preserve"> </w:t>
      </w:r>
      <w:r w:rsidR="00790793">
        <w:rPr>
          <w:sz w:val="24"/>
          <w:szCs w:val="24"/>
        </w:rPr>
        <w:t xml:space="preserve">z </w:t>
      </w:r>
      <w:r w:rsidR="005059B0">
        <w:rPr>
          <w:sz w:val="24"/>
          <w:szCs w:val="24"/>
        </w:rPr>
        <w:t>nauk chemiczn</w:t>
      </w:r>
      <w:r w:rsidR="00790793">
        <w:rPr>
          <w:sz w:val="24"/>
          <w:szCs w:val="24"/>
        </w:rPr>
        <w:t>ych</w:t>
      </w:r>
      <w:r w:rsidR="006069B6">
        <w:rPr>
          <w:sz w:val="24"/>
          <w:szCs w:val="24"/>
        </w:rPr>
        <w:t>!</w:t>
      </w:r>
    </w:p>
    <w:p w:rsidR="007E49A7" w:rsidRPr="00987E16" w:rsidRDefault="007B0CC1">
      <w:pPr>
        <w:rPr>
          <w:sz w:val="24"/>
          <w:szCs w:val="24"/>
        </w:rPr>
      </w:pPr>
      <w:r>
        <w:rPr>
          <w:sz w:val="24"/>
          <w:szCs w:val="24"/>
        </w:rPr>
        <w:t>W roku 2020 z</w:t>
      </w:r>
      <w:r w:rsidR="003C6BB8">
        <w:rPr>
          <w:sz w:val="24"/>
          <w:szCs w:val="24"/>
        </w:rPr>
        <w:t>badaliśmy</w:t>
      </w:r>
      <w:r w:rsidR="003E73B6">
        <w:rPr>
          <w:sz w:val="24"/>
          <w:szCs w:val="24"/>
        </w:rPr>
        <w:t xml:space="preserve"> statystyki</w:t>
      </w:r>
      <w:r w:rsidR="003C6BB8">
        <w:rPr>
          <w:sz w:val="24"/>
          <w:szCs w:val="24"/>
        </w:rPr>
        <w:t xml:space="preserve"> publikacj</w:t>
      </w:r>
      <w:r w:rsidR="003E73B6">
        <w:rPr>
          <w:sz w:val="24"/>
          <w:szCs w:val="24"/>
        </w:rPr>
        <w:t>i</w:t>
      </w:r>
      <w:r w:rsidR="003C6BB8">
        <w:rPr>
          <w:sz w:val="24"/>
          <w:szCs w:val="24"/>
        </w:rPr>
        <w:t xml:space="preserve"> </w:t>
      </w:r>
      <w:r w:rsidR="007E234C">
        <w:rPr>
          <w:sz w:val="24"/>
          <w:szCs w:val="24"/>
        </w:rPr>
        <w:t xml:space="preserve">na świecie </w:t>
      </w:r>
      <w:r w:rsidR="003C6BB8">
        <w:rPr>
          <w:sz w:val="24"/>
          <w:szCs w:val="24"/>
        </w:rPr>
        <w:t xml:space="preserve">w czasopismach punktowanych </w:t>
      </w:r>
      <w:r>
        <w:rPr>
          <w:sz w:val="24"/>
          <w:szCs w:val="24"/>
        </w:rPr>
        <w:t>na</w:t>
      </w:r>
      <w:r w:rsidR="003E73B6">
        <w:rPr>
          <w:sz w:val="24"/>
          <w:szCs w:val="24"/>
        </w:rPr>
        <w:t xml:space="preserve"> listach czasopism</w:t>
      </w:r>
      <w:r>
        <w:rPr>
          <w:sz w:val="24"/>
          <w:szCs w:val="24"/>
        </w:rPr>
        <w:t xml:space="preserve"> z </w:t>
      </w:r>
      <w:r w:rsidR="00987E16">
        <w:rPr>
          <w:sz w:val="24"/>
          <w:szCs w:val="24"/>
        </w:rPr>
        <w:t xml:space="preserve">trzech </w:t>
      </w:r>
      <w:r>
        <w:rPr>
          <w:sz w:val="24"/>
          <w:szCs w:val="24"/>
        </w:rPr>
        <w:t>nauk ścisłych</w:t>
      </w:r>
      <w:r w:rsidR="003C6BB8">
        <w:rPr>
          <w:sz w:val="24"/>
          <w:szCs w:val="24"/>
        </w:rPr>
        <w:t>: matematyka, nauki fizyczne, nauki chemiczne.</w:t>
      </w:r>
      <w:r w:rsidR="00FF0BAC">
        <w:rPr>
          <w:sz w:val="24"/>
          <w:szCs w:val="24"/>
        </w:rPr>
        <w:t xml:space="preserve"> </w:t>
      </w:r>
      <w:r w:rsidR="003E73B6">
        <w:rPr>
          <w:sz w:val="24"/>
          <w:szCs w:val="24"/>
        </w:rPr>
        <w:t xml:space="preserve">Dysproporcje </w:t>
      </w:r>
      <w:r w:rsidR="003C6BB8">
        <w:rPr>
          <w:sz w:val="24"/>
          <w:szCs w:val="24"/>
        </w:rPr>
        <w:t xml:space="preserve">między </w:t>
      </w:r>
      <w:r w:rsidR="00985570">
        <w:rPr>
          <w:sz w:val="24"/>
          <w:szCs w:val="24"/>
        </w:rPr>
        <w:t xml:space="preserve">odsetkami </w:t>
      </w:r>
      <w:r w:rsidR="003C6BB8">
        <w:rPr>
          <w:sz w:val="24"/>
          <w:szCs w:val="24"/>
        </w:rPr>
        <w:t>publikacj</w:t>
      </w:r>
      <w:r w:rsidR="00ED263F">
        <w:rPr>
          <w:sz w:val="24"/>
          <w:szCs w:val="24"/>
        </w:rPr>
        <w:t>i</w:t>
      </w:r>
      <w:r w:rsidR="003C6BB8">
        <w:rPr>
          <w:sz w:val="24"/>
          <w:szCs w:val="24"/>
        </w:rPr>
        <w:t xml:space="preserve"> </w:t>
      </w:r>
      <w:r w:rsidR="002344DF">
        <w:rPr>
          <w:sz w:val="24"/>
          <w:szCs w:val="24"/>
        </w:rPr>
        <w:t xml:space="preserve">za </w:t>
      </w:r>
      <w:r w:rsidR="005059B0">
        <w:rPr>
          <w:sz w:val="24"/>
          <w:szCs w:val="24"/>
        </w:rPr>
        <w:t xml:space="preserve">określoną liczbę punktów </w:t>
      </w:r>
      <w:r w:rsidR="003E73B6">
        <w:rPr>
          <w:sz w:val="24"/>
          <w:szCs w:val="24"/>
        </w:rPr>
        <w:t>były</w:t>
      </w:r>
      <w:r w:rsidR="003C6BB8">
        <w:rPr>
          <w:sz w:val="24"/>
          <w:szCs w:val="24"/>
        </w:rPr>
        <w:t xml:space="preserve"> </w:t>
      </w:r>
      <w:r w:rsidR="005B5860">
        <w:rPr>
          <w:sz w:val="24"/>
          <w:szCs w:val="24"/>
        </w:rPr>
        <w:t xml:space="preserve">bardzo duże. </w:t>
      </w:r>
      <w:r w:rsidR="00B719BF">
        <w:rPr>
          <w:sz w:val="24"/>
          <w:szCs w:val="24"/>
        </w:rPr>
        <w:t>Dokładne</w:t>
      </w:r>
      <w:r w:rsidR="002344DF">
        <w:rPr>
          <w:sz w:val="24"/>
          <w:szCs w:val="24"/>
        </w:rPr>
        <w:t xml:space="preserve"> dane są podane</w:t>
      </w:r>
      <w:r w:rsidR="005059B0">
        <w:rPr>
          <w:sz w:val="24"/>
          <w:szCs w:val="24"/>
        </w:rPr>
        <w:t xml:space="preserve"> niżej</w:t>
      </w:r>
      <w:r w:rsidR="002344DF">
        <w:rPr>
          <w:sz w:val="24"/>
          <w:szCs w:val="24"/>
        </w:rPr>
        <w:t xml:space="preserve"> w tabeli i </w:t>
      </w:r>
      <w:r w:rsidR="00985570">
        <w:rPr>
          <w:sz w:val="24"/>
          <w:szCs w:val="24"/>
        </w:rPr>
        <w:t xml:space="preserve">zilustrowane </w:t>
      </w:r>
      <w:r w:rsidR="002344DF">
        <w:rPr>
          <w:sz w:val="24"/>
          <w:szCs w:val="24"/>
        </w:rPr>
        <w:t>na poglądowym wykresie. Przykładowo, publikacje za 200 pkt stanowi</w:t>
      </w:r>
      <w:r w:rsidR="003E73B6">
        <w:rPr>
          <w:sz w:val="24"/>
          <w:szCs w:val="24"/>
        </w:rPr>
        <w:t>ły</w:t>
      </w:r>
      <w:r w:rsidR="005059B0">
        <w:rPr>
          <w:sz w:val="24"/>
          <w:szCs w:val="24"/>
        </w:rPr>
        <w:t xml:space="preserve"> w stosunku do wszystkich publikacji na liście</w:t>
      </w:r>
      <w:r w:rsidR="002344DF">
        <w:rPr>
          <w:sz w:val="24"/>
          <w:szCs w:val="24"/>
        </w:rPr>
        <w:t xml:space="preserve"> </w:t>
      </w:r>
      <w:r w:rsidR="002344DF" w:rsidRPr="00322F61">
        <w:rPr>
          <w:b/>
          <w:sz w:val="24"/>
          <w:szCs w:val="24"/>
        </w:rPr>
        <w:t xml:space="preserve">3,28% </w:t>
      </w:r>
      <w:r w:rsidR="005059B0">
        <w:rPr>
          <w:b/>
          <w:sz w:val="24"/>
          <w:szCs w:val="24"/>
        </w:rPr>
        <w:t xml:space="preserve">na liście </w:t>
      </w:r>
      <w:r w:rsidR="002344DF" w:rsidRPr="00322F61">
        <w:rPr>
          <w:b/>
          <w:sz w:val="24"/>
          <w:szCs w:val="24"/>
        </w:rPr>
        <w:t>matematycznej</w:t>
      </w:r>
      <w:r w:rsidR="002344DF">
        <w:rPr>
          <w:sz w:val="24"/>
          <w:szCs w:val="24"/>
        </w:rPr>
        <w:t xml:space="preserve">, </w:t>
      </w:r>
      <w:r w:rsidR="00322F61" w:rsidRPr="00322F61">
        <w:rPr>
          <w:b/>
          <w:sz w:val="24"/>
          <w:szCs w:val="24"/>
        </w:rPr>
        <w:t xml:space="preserve">8,02% </w:t>
      </w:r>
      <w:r w:rsidR="005059B0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li</w:t>
      </w:r>
      <w:r w:rsidR="005059B0">
        <w:rPr>
          <w:b/>
          <w:sz w:val="24"/>
          <w:szCs w:val="24"/>
        </w:rPr>
        <w:t>ście</w:t>
      </w:r>
      <w:r w:rsidR="002344DF" w:rsidRPr="00322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</w:t>
      </w:r>
      <w:r w:rsidR="002344DF" w:rsidRPr="00322F61">
        <w:rPr>
          <w:b/>
          <w:sz w:val="24"/>
          <w:szCs w:val="24"/>
        </w:rPr>
        <w:t>nauk fizycznych</w:t>
      </w:r>
      <w:r w:rsidR="002344DF">
        <w:rPr>
          <w:sz w:val="24"/>
          <w:szCs w:val="24"/>
        </w:rPr>
        <w:t xml:space="preserve">, a </w:t>
      </w:r>
      <w:r w:rsidR="00322F61" w:rsidRPr="00322F61">
        <w:rPr>
          <w:b/>
          <w:sz w:val="24"/>
          <w:szCs w:val="24"/>
        </w:rPr>
        <w:t xml:space="preserve">11,30% </w:t>
      </w:r>
      <w:r w:rsidR="005059B0">
        <w:rPr>
          <w:b/>
          <w:sz w:val="24"/>
          <w:szCs w:val="24"/>
        </w:rPr>
        <w:t xml:space="preserve">na liście </w:t>
      </w:r>
      <w:r>
        <w:rPr>
          <w:b/>
          <w:sz w:val="24"/>
          <w:szCs w:val="24"/>
        </w:rPr>
        <w:t xml:space="preserve">z </w:t>
      </w:r>
      <w:r w:rsidR="002344DF" w:rsidRPr="00322F61">
        <w:rPr>
          <w:b/>
          <w:sz w:val="24"/>
          <w:szCs w:val="24"/>
        </w:rPr>
        <w:t>nauk chemicznych</w:t>
      </w:r>
      <w:r w:rsidR="00322F61">
        <w:rPr>
          <w:sz w:val="24"/>
          <w:szCs w:val="24"/>
        </w:rPr>
        <w:t xml:space="preserve">. </w:t>
      </w:r>
      <w:r w:rsidR="00985570">
        <w:rPr>
          <w:sz w:val="24"/>
          <w:szCs w:val="24"/>
        </w:rPr>
        <w:t>Tym samym, szans</w:t>
      </w:r>
      <w:r w:rsidR="00B719BF">
        <w:rPr>
          <w:sz w:val="24"/>
          <w:szCs w:val="24"/>
        </w:rPr>
        <w:t>e</w:t>
      </w:r>
      <w:r w:rsidR="00985570">
        <w:rPr>
          <w:sz w:val="24"/>
          <w:szCs w:val="24"/>
        </w:rPr>
        <w:t xml:space="preserve"> na opublikowanie pracy za 200 pkt </w:t>
      </w:r>
      <w:r w:rsidR="003E73B6">
        <w:rPr>
          <w:sz w:val="24"/>
          <w:szCs w:val="24"/>
        </w:rPr>
        <w:t>były</w:t>
      </w:r>
      <w:r w:rsidR="00B719BF">
        <w:rPr>
          <w:sz w:val="24"/>
          <w:szCs w:val="24"/>
        </w:rPr>
        <w:t xml:space="preserve"> w tych dyscyplinach </w:t>
      </w:r>
      <w:r w:rsidR="007E234C">
        <w:rPr>
          <w:sz w:val="24"/>
          <w:szCs w:val="24"/>
        </w:rPr>
        <w:t>nieporównywalne</w:t>
      </w:r>
      <w:r w:rsidR="00AC549E">
        <w:rPr>
          <w:sz w:val="24"/>
          <w:szCs w:val="24"/>
        </w:rPr>
        <w:t xml:space="preserve"> </w:t>
      </w:r>
      <w:r w:rsidR="00B719BF">
        <w:rPr>
          <w:sz w:val="24"/>
          <w:szCs w:val="24"/>
        </w:rPr>
        <w:t>(</w:t>
      </w:r>
      <w:r w:rsidR="008F33B1">
        <w:rPr>
          <w:sz w:val="24"/>
          <w:szCs w:val="24"/>
        </w:rPr>
        <w:t xml:space="preserve">w </w:t>
      </w:r>
      <w:r w:rsidR="003E73B6">
        <w:rPr>
          <w:sz w:val="24"/>
          <w:szCs w:val="24"/>
        </w:rPr>
        <w:t>innych latach</w:t>
      </w:r>
      <w:r w:rsidR="00AC549E">
        <w:rPr>
          <w:sz w:val="24"/>
          <w:szCs w:val="24"/>
        </w:rPr>
        <w:t xml:space="preserve"> </w:t>
      </w:r>
      <w:r w:rsidR="008F33B1">
        <w:rPr>
          <w:sz w:val="24"/>
          <w:szCs w:val="24"/>
        </w:rPr>
        <w:t>było podobnie</w:t>
      </w:r>
      <w:r w:rsidR="00987E16">
        <w:rPr>
          <w:sz w:val="24"/>
          <w:szCs w:val="24"/>
        </w:rPr>
        <w:t xml:space="preserve">, prawdopodobnie </w:t>
      </w:r>
      <w:r w:rsidR="00A67DF9">
        <w:rPr>
          <w:sz w:val="24"/>
          <w:szCs w:val="24"/>
        </w:rPr>
        <w:t xml:space="preserve">problem </w:t>
      </w:r>
      <w:r w:rsidR="00987E16">
        <w:rPr>
          <w:sz w:val="24"/>
          <w:szCs w:val="24"/>
        </w:rPr>
        <w:t>dotyczy też innych dyscyplin</w:t>
      </w:r>
      <w:r w:rsidR="00B719BF">
        <w:rPr>
          <w:sz w:val="24"/>
          <w:szCs w:val="24"/>
        </w:rPr>
        <w:t xml:space="preserve">). </w:t>
      </w:r>
      <w:r w:rsidR="005B5860">
        <w:rPr>
          <w:sz w:val="24"/>
          <w:szCs w:val="24"/>
        </w:rPr>
        <w:t>Zwróćmy uwagę, że ponieważ bierzemy tu pod uwagę wszystkie publikacje na świecie, są to wskaźniki mające charakter obiektywny</w:t>
      </w:r>
      <w:r w:rsidR="00FF51E9">
        <w:rPr>
          <w:sz w:val="24"/>
          <w:szCs w:val="24"/>
        </w:rPr>
        <w:t xml:space="preserve">. Jeżeli zależy nam na zrównoważonym rozwoju różnych dyscyplin, </w:t>
      </w:r>
      <w:r w:rsidR="003E73B6">
        <w:rPr>
          <w:sz w:val="24"/>
          <w:szCs w:val="24"/>
        </w:rPr>
        <w:t>i</w:t>
      </w:r>
      <w:r w:rsidR="00531242">
        <w:rPr>
          <w:sz w:val="24"/>
          <w:szCs w:val="24"/>
        </w:rPr>
        <w:t>stnieje pilna potrzeba</w:t>
      </w:r>
      <w:r w:rsidR="00C4421B">
        <w:rPr>
          <w:sz w:val="24"/>
          <w:szCs w:val="24"/>
        </w:rPr>
        <w:t xml:space="preserve"> przyjęcia</w:t>
      </w:r>
      <w:r w:rsidR="008F33B1">
        <w:rPr>
          <w:sz w:val="24"/>
          <w:szCs w:val="24"/>
        </w:rPr>
        <w:t xml:space="preserve"> </w:t>
      </w:r>
      <w:r w:rsidR="00FF51E9">
        <w:rPr>
          <w:b/>
          <w:sz w:val="24"/>
          <w:szCs w:val="24"/>
        </w:rPr>
        <w:t xml:space="preserve">jednolitych </w:t>
      </w:r>
      <w:r w:rsidR="005B5860">
        <w:rPr>
          <w:b/>
          <w:sz w:val="24"/>
          <w:szCs w:val="24"/>
        </w:rPr>
        <w:t>proporcji</w:t>
      </w:r>
      <w:r w:rsidR="008F33B1" w:rsidRPr="008F33B1">
        <w:rPr>
          <w:b/>
          <w:sz w:val="24"/>
          <w:szCs w:val="24"/>
        </w:rPr>
        <w:t xml:space="preserve"> </w:t>
      </w:r>
      <w:r w:rsidR="005B5860">
        <w:rPr>
          <w:b/>
          <w:sz w:val="24"/>
          <w:szCs w:val="24"/>
        </w:rPr>
        <w:t xml:space="preserve">między </w:t>
      </w:r>
      <w:r w:rsidR="00FF51E9">
        <w:rPr>
          <w:b/>
          <w:sz w:val="24"/>
          <w:szCs w:val="24"/>
        </w:rPr>
        <w:t xml:space="preserve">liczbami publikacji w różnych kategoriach </w:t>
      </w:r>
      <w:r w:rsidR="008F33B1" w:rsidRPr="008F33B1">
        <w:rPr>
          <w:b/>
          <w:sz w:val="24"/>
          <w:szCs w:val="24"/>
        </w:rPr>
        <w:t>punkt</w:t>
      </w:r>
      <w:r w:rsidR="005B5860">
        <w:rPr>
          <w:b/>
          <w:sz w:val="24"/>
          <w:szCs w:val="24"/>
        </w:rPr>
        <w:t>owy</w:t>
      </w:r>
      <w:r w:rsidR="00FF51E9">
        <w:rPr>
          <w:b/>
          <w:sz w:val="24"/>
          <w:szCs w:val="24"/>
        </w:rPr>
        <w:t>ch.</w:t>
      </w:r>
    </w:p>
    <w:p w:rsidR="00985570" w:rsidRDefault="00322F61">
      <w:pPr>
        <w:rPr>
          <w:sz w:val="24"/>
          <w:szCs w:val="24"/>
        </w:rPr>
      </w:pPr>
      <w:r>
        <w:rPr>
          <w:sz w:val="24"/>
          <w:szCs w:val="24"/>
        </w:rPr>
        <w:t>Gdyby listy czasopism nie służyły do porównywania osiągnięć w różnych dyscyplinach nauki, to</w:t>
      </w:r>
      <w:r w:rsidR="008F33B1">
        <w:rPr>
          <w:sz w:val="24"/>
          <w:szCs w:val="24"/>
        </w:rPr>
        <w:t xml:space="preserve"> być może</w:t>
      </w:r>
      <w:r>
        <w:rPr>
          <w:sz w:val="24"/>
          <w:szCs w:val="24"/>
        </w:rPr>
        <w:t xml:space="preserve"> nawet tak </w:t>
      </w:r>
      <w:r w:rsidR="00AC549E">
        <w:rPr>
          <w:sz w:val="24"/>
          <w:szCs w:val="24"/>
        </w:rPr>
        <w:t>duże</w:t>
      </w:r>
      <w:r>
        <w:rPr>
          <w:sz w:val="24"/>
          <w:szCs w:val="24"/>
        </w:rPr>
        <w:t xml:space="preserve"> dysproporcje mo</w:t>
      </w:r>
      <w:r w:rsidR="008F33B1">
        <w:rPr>
          <w:sz w:val="24"/>
          <w:szCs w:val="24"/>
        </w:rPr>
        <w:t>głyby</w:t>
      </w:r>
      <w:r>
        <w:rPr>
          <w:sz w:val="24"/>
          <w:szCs w:val="24"/>
        </w:rPr>
        <w:t xml:space="preserve"> nie mieć znaczenia, ale tak nie jest!</w:t>
      </w:r>
      <w:r w:rsidR="007E49A7">
        <w:rPr>
          <w:sz w:val="24"/>
          <w:szCs w:val="24"/>
        </w:rPr>
        <w:t xml:space="preserve"> Publikacje za 200 pkt stały się </w:t>
      </w:r>
      <w:r w:rsidR="00ED263F">
        <w:rPr>
          <w:sz w:val="24"/>
          <w:szCs w:val="24"/>
        </w:rPr>
        <w:t>nie tylk</w:t>
      </w:r>
      <w:r w:rsidR="008F33B1">
        <w:rPr>
          <w:sz w:val="24"/>
          <w:szCs w:val="24"/>
        </w:rPr>
        <w:t xml:space="preserve">o </w:t>
      </w:r>
      <w:r w:rsidR="00987E16">
        <w:rPr>
          <w:sz w:val="24"/>
          <w:szCs w:val="24"/>
        </w:rPr>
        <w:t>świadectwem</w:t>
      </w:r>
      <w:r w:rsidR="008F33B1">
        <w:rPr>
          <w:sz w:val="24"/>
          <w:szCs w:val="24"/>
        </w:rPr>
        <w:t xml:space="preserve"> </w:t>
      </w:r>
      <w:r w:rsidR="007E49A7">
        <w:rPr>
          <w:sz w:val="24"/>
          <w:szCs w:val="24"/>
        </w:rPr>
        <w:t>jakości badań naukowych</w:t>
      </w:r>
      <w:r w:rsidR="008F33B1">
        <w:rPr>
          <w:sz w:val="24"/>
          <w:szCs w:val="24"/>
        </w:rPr>
        <w:t xml:space="preserve"> </w:t>
      </w:r>
      <w:r w:rsidR="00A67DF9">
        <w:rPr>
          <w:sz w:val="24"/>
          <w:szCs w:val="24"/>
        </w:rPr>
        <w:t xml:space="preserve">i </w:t>
      </w:r>
      <w:r w:rsidR="00987E16">
        <w:rPr>
          <w:sz w:val="24"/>
          <w:szCs w:val="24"/>
        </w:rPr>
        <w:t xml:space="preserve">źródłem </w:t>
      </w:r>
      <w:r w:rsidR="008F33B1">
        <w:rPr>
          <w:sz w:val="24"/>
          <w:szCs w:val="24"/>
        </w:rPr>
        <w:t>prestiżu</w:t>
      </w:r>
      <w:r w:rsidR="00987E16">
        <w:rPr>
          <w:sz w:val="24"/>
          <w:szCs w:val="24"/>
        </w:rPr>
        <w:t xml:space="preserve"> dla naukowców.</w:t>
      </w:r>
      <w:r w:rsidR="00ED263F">
        <w:rPr>
          <w:sz w:val="24"/>
          <w:szCs w:val="24"/>
        </w:rPr>
        <w:t xml:space="preserve"> </w:t>
      </w:r>
      <w:r w:rsidR="00985570">
        <w:rPr>
          <w:sz w:val="24"/>
          <w:szCs w:val="24"/>
        </w:rPr>
        <w:t xml:space="preserve"> </w:t>
      </w:r>
      <w:r w:rsidR="00B719BF">
        <w:rPr>
          <w:sz w:val="24"/>
          <w:szCs w:val="24"/>
        </w:rPr>
        <w:t>Mają d</w:t>
      </w:r>
      <w:r w:rsidR="00985570">
        <w:rPr>
          <w:sz w:val="24"/>
          <w:szCs w:val="24"/>
        </w:rPr>
        <w:t>e</w:t>
      </w:r>
      <w:r w:rsidR="007E49A7">
        <w:rPr>
          <w:sz w:val="24"/>
          <w:szCs w:val="24"/>
        </w:rPr>
        <w:t>cyd</w:t>
      </w:r>
      <w:r w:rsidR="00985570">
        <w:rPr>
          <w:sz w:val="24"/>
          <w:szCs w:val="24"/>
        </w:rPr>
        <w:t>ują</w:t>
      </w:r>
      <w:r w:rsidR="00B719BF">
        <w:rPr>
          <w:sz w:val="24"/>
          <w:szCs w:val="24"/>
        </w:rPr>
        <w:t>ce</w:t>
      </w:r>
      <w:r w:rsidR="00985570">
        <w:rPr>
          <w:sz w:val="24"/>
          <w:szCs w:val="24"/>
        </w:rPr>
        <w:t xml:space="preserve"> </w:t>
      </w:r>
      <w:r w:rsidR="00B719BF">
        <w:rPr>
          <w:sz w:val="24"/>
          <w:szCs w:val="24"/>
        </w:rPr>
        <w:t xml:space="preserve">znaczenie </w:t>
      </w:r>
      <w:r w:rsidR="00985570">
        <w:rPr>
          <w:sz w:val="24"/>
          <w:szCs w:val="24"/>
        </w:rPr>
        <w:t>niemal</w:t>
      </w:r>
      <w:r w:rsidR="007E49A7">
        <w:rPr>
          <w:sz w:val="24"/>
          <w:szCs w:val="24"/>
        </w:rPr>
        <w:t xml:space="preserve"> </w:t>
      </w:r>
      <w:r w:rsidR="00ED263F">
        <w:rPr>
          <w:sz w:val="24"/>
          <w:szCs w:val="24"/>
        </w:rPr>
        <w:t xml:space="preserve">zawsze gdy z jednej puli przyznaje się nagrody, stypendia </w:t>
      </w:r>
      <w:r w:rsidR="007E234C">
        <w:rPr>
          <w:sz w:val="24"/>
          <w:szCs w:val="24"/>
        </w:rPr>
        <w:t>czy</w:t>
      </w:r>
      <w:r w:rsidR="00ED263F">
        <w:rPr>
          <w:sz w:val="24"/>
          <w:szCs w:val="24"/>
        </w:rPr>
        <w:t xml:space="preserve"> środki motywacyjne dla </w:t>
      </w:r>
      <w:r w:rsidR="00851A28">
        <w:rPr>
          <w:sz w:val="24"/>
          <w:szCs w:val="24"/>
        </w:rPr>
        <w:t>repreze</w:t>
      </w:r>
      <w:r w:rsidR="00E440AA">
        <w:rPr>
          <w:sz w:val="24"/>
          <w:szCs w:val="24"/>
        </w:rPr>
        <w:t>ntantów</w:t>
      </w:r>
      <w:r w:rsidR="00851A28">
        <w:rPr>
          <w:sz w:val="24"/>
          <w:szCs w:val="24"/>
        </w:rPr>
        <w:t xml:space="preserve"> różn</w:t>
      </w:r>
      <w:r w:rsidR="00E440AA">
        <w:rPr>
          <w:sz w:val="24"/>
          <w:szCs w:val="24"/>
        </w:rPr>
        <w:t>ych</w:t>
      </w:r>
      <w:r w:rsidR="00851A28">
        <w:rPr>
          <w:sz w:val="24"/>
          <w:szCs w:val="24"/>
        </w:rPr>
        <w:t xml:space="preserve"> dyscyplin</w:t>
      </w:r>
      <w:r w:rsidR="008F33B1">
        <w:rPr>
          <w:sz w:val="24"/>
          <w:szCs w:val="24"/>
        </w:rPr>
        <w:t xml:space="preserve">. </w:t>
      </w:r>
      <w:r w:rsidR="00726DD2">
        <w:rPr>
          <w:sz w:val="24"/>
          <w:szCs w:val="24"/>
        </w:rPr>
        <w:t xml:space="preserve">Aż trudno w to uwierzyć, ale </w:t>
      </w:r>
      <w:r w:rsidR="009A7716">
        <w:rPr>
          <w:sz w:val="24"/>
          <w:szCs w:val="24"/>
        </w:rPr>
        <w:t>wśród</w:t>
      </w:r>
      <w:r w:rsidR="00985570">
        <w:rPr>
          <w:sz w:val="24"/>
          <w:szCs w:val="24"/>
        </w:rPr>
        <w:t xml:space="preserve"> stypendystów dla wybitnych młodych naukowców przez wiele lat </w:t>
      </w:r>
      <w:r w:rsidR="00531242">
        <w:rPr>
          <w:sz w:val="24"/>
          <w:szCs w:val="24"/>
        </w:rPr>
        <w:t>ni</w:t>
      </w:r>
      <w:bookmarkStart w:id="0" w:name="_GoBack"/>
      <w:bookmarkEnd w:id="0"/>
      <w:r w:rsidR="00531242">
        <w:rPr>
          <w:sz w:val="24"/>
          <w:szCs w:val="24"/>
        </w:rPr>
        <w:t>emal nie było</w:t>
      </w:r>
      <w:r w:rsidR="00AC549E">
        <w:rPr>
          <w:sz w:val="24"/>
          <w:szCs w:val="24"/>
        </w:rPr>
        <w:t xml:space="preserve"> </w:t>
      </w:r>
      <w:r w:rsidR="00985570">
        <w:rPr>
          <w:sz w:val="24"/>
          <w:szCs w:val="24"/>
        </w:rPr>
        <w:t xml:space="preserve">matematyków (w roku 2021 </w:t>
      </w:r>
      <w:r w:rsidR="00531242">
        <w:rPr>
          <w:sz w:val="24"/>
          <w:szCs w:val="24"/>
        </w:rPr>
        <w:t>wśród 217 stypendystów nie było ani jednego</w:t>
      </w:r>
      <w:r w:rsidR="00987E16">
        <w:rPr>
          <w:sz w:val="24"/>
          <w:szCs w:val="24"/>
        </w:rPr>
        <w:t>)</w:t>
      </w:r>
      <w:r w:rsidR="005A22D4">
        <w:rPr>
          <w:sz w:val="24"/>
          <w:szCs w:val="24"/>
        </w:rPr>
        <w:t xml:space="preserve">. </w:t>
      </w:r>
      <w:r w:rsidR="00531242">
        <w:rPr>
          <w:sz w:val="24"/>
          <w:szCs w:val="24"/>
        </w:rPr>
        <w:t xml:space="preserve">Podobne zjawisko występuje </w:t>
      </w:r>
      <w:r w:rsidR="009A7716">
        <w:rPr>
          <w:sz w:val="24"/>
          <w:szCs w:val="24"/>
        </w:rPr>
        <w:t xml:space="preserve">także </w:t>
      </w:r>
      <w:r w:rsidR="00531242">
        <w:rPr>
          <w:sz w:val="24"/>
          <w:szCs w:val="24"/>
        </w:rPr>
        <w:t>przy podziale środków motywacyjnych</w:t>
      </w:r>
      <w:r w:rsidR="005E3D43">
        <w:rPr>
          <w:sz w:val="24"/>
          <w:szCs w:val="24"/>
        </w:rPr>
        <w:t>, gdzie</w:t>
      </w:r>
      <w:r w:rsidR="00531242">
        <w:rPr>
          <w:sz w:val="24"/>
          <w:szCs w:val="24"/>
        </w:rPr>
        <w:t xml:space="preserve"> </w:t>
      </w:r>
      <w:r w:rsidR="00851A28">
        <w:rPr>
          <w:sz w:val="24"/>
          <w:szCs w:val="24"/>
        </w:rPr>
        <w:t>publikacj</w:t>
      </w:r>
      <w:r w:rsidR="00C62954">
        <w:rPr>
          <w:sz w:val="24"/>
          <w:szCs w:val="24"/>
        </w:rPr>
        <w:t>e</w:t>
      </w:r>
      <w:r w:rsidR="00851A28">
        <w:rPr>
          <w:sz w:val="24"/>
          <w:szCs w:val="24"/>
        </w:rPr>
        <w:t xml:space="preserve"> za 200 pkt </w:t>
      </w:r>
      <w:r w:rsidR="00CE2FE3">
        <w:rPr>
          <w:sz w:val="24"/>
          <w:szCs w:val="24"/>
        </w:rPr>
        <w:t>bywają</w:t>
      </w:r>
      <w:r w:rsidR="00C62954">
        <w:rPr>
          <w:sz w:val="24"/>
          <w:szCs w:val="24"/>
        </w:rPr>
        <w:t xml:space="preserve"> </w:t>
      </w:r>
      <w:r w:rsidR="00851A28">
        <w:rPr>
          <w:sz w:val="24"/>
          <w:szCs w:val="24"/>
        </w:rPr>
        <w:t>premiowan</w:t>
      </w:r>
      <w:r w:rsidR="00C62954">
        <w:rPr>
          <w:sz w:val="24"/>
          <w:szCs w:val="24"/>
        </w:rPr>
        <w:t>e</w:t>
      </w:r>
      <w:r w:rsidR="005E3D43">
        <w:rPr>
          <w:sz w:val="24"/>
          <w:szCs w:val="24"/>
        </w:rPr>
        <w:t xml:space="preserve"> sporymi nagrodami finansowymi (nawet </w:t>
      </w:r>
      <w:r w:rsidR="00851A28">
        <w:rPr>
          <w:sz w:val="24"/>
          <w:szCs w:val="24"/>
        </w:rPr>
        <w:t>10 000 zł</w:t>
      </w:r>
      <w:r w:rsidR="005E3D43">
        <w:rPr>
          <w:sz w:val="24"/>
          <w:szCs w:val="24"/>
        </w:rPr>
        <w:t>)</w:t>
      </w:r>
      <w:r w:rsidR="00A67DF9">
        <w:rPr>
          <w:sz w:val="24"/>
          <w:szCs w:val="24"/>
        </w:rPr>
        <w:t xml:space="preserve"> </w:t>
      </w:r>
      <w:r w:rsidR="00851A28">
        <w:rPr>
          <w:sz w:val="24"/>
          <w:szCs w:val="24"/>
        </w:rPr>
        <w:t xml:space="preserve">podczas gdy publikacje o niższej punktacji </w:t>
      </w:r>
      <w:r w:rsidR="00C62954">
        <w:rPr>
          <w:sz w:val="24"/>
          <w:szCs w:val="24"/>
        </w:rPr>
        <w:t xml:space="preserve">już </w:t>
      </w:r>
      <w:r w:rsidR="00851A28">
        <w:rPr>
          <w:sz w:val="24"/>
          <w:szCs w:val="24"/>
        </w:rPr>
        <w:t>nie</w:t>
      </w:r>
      <w:r w:rsidR="00C62954">
        <w:rPr>
          <w:sz w:val="24"/>
          <w:szCs w:val="24"/>
        </w:rPr>
        <w:t>.</w:t>
      </w:r>
    </w:p>
    <w:p w:rsidR="00376561" w:rsidRPr="00376561" w:rsidRDefault="0088017B">
      <w:pPr>
        <w:rPr>
          <w:sz w:val="24"/>
          <w:szCs w:val="24"/>
        </w:rPr>
      </w:pPr>
      <w:r w:rsidRPr="00376561">
        <w:rPr>
          <w:sz w:val="24"/>
          <w:szCs w:val="24"/>
        </w:rPr>
        <w:t>Zastosowanie j</w:t>
      </w:r>
      <w:r w:rsidR="00C80FA1" w:rsidRPr="00376561">
        <w:rPr>
          <w:sz w:val="24"/>
          <w:szCs w:val="24"/>
        </w:rPr>
        <w:t>ednolit</w:t>
      </w:r>
      <w:r w:rsidRPr="00376561">
        <w:rPr>
          <w:sz w:val="24"/>
          <w:szCs w:val="24"/>
        </w:rPr>
        <w:t>ych</w:t>
      </w:r>
      <w:r w:rsidR="00376561" w:rsidRPr="00376561">
        <w:rPr>
          <w:sz w:val="24"/>
          <w:szCs w:val="24"/>
        </w:rPr>
        <w:t xml:space="preserve"> proporcji dla wszystkich list </w:t>
      </w:r>
      <w:r w:rsidR="00035C04" w:rsidRPr="00376561">
        <w:rPr>
          <w:sz w:val="24"/>
          <w:szCs w:val="24"/>
        </w:rPr>
        <w:t>jest niezbędne, żeby żadna dyscyplina nie była dyskryminowana.</w:t>
      </w:r>
      <w:r w:rsidR="00035C04">
        <w:rPr>
          <w:b/>
          <w:sz w:val="24"/>
          <w:szCs w:val="24"/>
        </w:rPr>
        <w:t xml:space="preserve"> </w:t>
      </w:r>
      <w:r w:rsidR="00D12A85" w:rsidRPr="00D12A85">
        <w:rPr>
          <w:sz w:val="24"/>
          <w:szCs w:val="24"/>
        </w:rPr>
        <w:t xml:space="preserve">Można to </w:t>
      </w:r>
      <w:r w:rsidR="00326D75">
        <w:rPr>
          <w:sz w:val="24"/>
          <w:szCs w:val="24"/>
        </w:rPr>
        <w:t xml:space="preserve">oczywiście </w:t>
      </w:r>
      <w:r w:rsidR="00D12A85" w:rsidRPr="00D12A85">
        <w:rPr>
          <w:sz w:val="24"/>
          <w:szCs w:val="24"/>
        </w:rPr>
        <w:t xml:space="preserve">zrobić na wiele sposobów. </w:t>
      </w:r>
      <w:r w:rsidR="00035C04" w:rsidRPr="00D12A85">
        <w:rPr>
          <w:sz w:val="24"/>
          <w:szCs w:val="24"/>
        </w:rPr>
        <w:t xml:space="preserve">Poniżej przedstawiam </w:t>
      </w:r>
      <w:r w:rsidR="00D12A85" w:rsidRPr="00D12A85">
        <w:rPr>
          <w:sz w:val="24"/>
          <w:szCs w:val="24"/>
        </w:rPr>
        <w:t xml:space="preserve">stosunkowo prostą </w:t>
      </w:r>
      <w:r w:rsidR="00035C04" w:rsidRPr="00D12A85">
        <w:rPr>
          <w:sz w:val="24"/>
          <w:szCs w:val="24"/>
        </w:rPr>
        <w:t>propozycję</w:t>
      </w:r>
      <w:r w:rsidR="00D12A85" w:rsidRPr="00D12A85">
        <w:rPr>
          <w:sz w:val="24"/>
          <w:szCs w:val="24"/>
        </w:rPr>
        <w:t xml:space="preserve">, </w:t>
      </w:r>
      <w:r w:rsidR="00035C04" w:rsidRPr="00D12A85">
        <w:rPr>
          <w:sz w:val="24"/>
          <w:szCs w:val="24"/>
        </w:rPr>
        <w:t>opartą na istniejących listach</w:t>
      </w:r>
      <w:r w:rsidR="00326D75">
        <w:rPr>
          <w:sz w:val="24"/>
          <w:szCs w:val="24"/>
        </w:rPr>
        <w:t xml:space="preserve"> czasopism punktowanych</w:t>
      </w:r>
      <w:r w:rsidR="00035C04" w:rsidRPr="00D12A85">
        <w:rPr>
          <w:sz w:val="24"/>
          <w:szCs w:val="24"/>
        </w:rPr>
        <w:t>:</w:t>
      </w:r>
    </w:p>
    <w:p w:rsidR="00FA7FF9" w:rsidRDefault="00C62954" w:rsidP="00FF0B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0BAC">
        <w:rPr>
          <w:sz w:val="24"/>
          <w:szCs w:val="24"/>
        </w:rPr>
        <w:t>u</w:t>
      </w:r>
      <w:r w:rsidR="00B467B4" w:rsidRPr="00FF0BAC">
        <w:rPr>
          <w:sz w:val="24"/>
          <w:szCs w:val="24"/>
        </w:rPr>
        <w:t>porządkowa</w:t>
      </w:r>
      <w:r w:rsidRPr="00FF0BAC">
        <w:rPr>
          <w:sz w:val="24"/>
          <w:szCs w:val="24"/>
        </w:rPr>
        <w:t>ć</w:t>
      </w:r>
      <w:r w:rsidR="00B467B4" w:rsidRPr="00FF0BAC">
        <w:rPr>
          <w:sz w:val="24"/>
          <w:szCs w:val="24"/>
        </w:rPr>
        <w:t xml:space="preserve"> czasopism</w:t>
      </w:r>
      <w:r w:rsidR="00D514DE" w:rsidRPr="00FF0BAC">
        <w:rPr>
          <w:sz w:val="24"/>
          <w:szCs w:val="24"/>
        </w:rPr>
        <w:t>a</w:t>
      </w:r>
      <w:r w:rsidR="00B467B4" w:rsidRPr="00FF0BAC">
        <w:rPr>
          <w:sz w:val="24"/>
          <w:szCs w:val="24"/>
        </w:rPr>
        <w:t xml:space="preserve"> </w:t>
      </w:r>
      <w:r w:rsidR="00FA7FF9">
        <w:rPr>
          <w:sz w:val="24"/>
          <w:szCs w:val="24"/>
        </w:rPr>
        <w:t xml:space="preserve">z każdej listy </w:t>
      </w:r>
      <w:r w:rsidR="00B467B4" w:rsidRPr="00FF0BAC">
        <w:rPr>
          <w:sz w:val="24"/>
          <w:szCs w:val="24"/>
        </w:rPr>
        <w:t>według malejącego IF</w:t>
      </w:r>
      <w:r w:rsidR="00FA7FF9">
        <w:rPr>
          <w:sz w:val="24"/>
          <w:szCs w:val="24"/>
        </w:rPr>
        <w:t>,</w:t>
      </w:r>
    </w:p>
    <w:p w:rsidR="00F54A9B" w:rsidRPr="00FF0BAC" w:rsidRDefault="00C62954" w:rsidP="00FF0B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0BAC">
        <w:rPr>
          <w:sz w:val="24"/>
          <w:szCs w:val="24"/>
        </w:rPr>
        <w:t xml:space="preserve">dokonać podziału na kategorie punktowe </w:t>
      </w:r>
      <w:r w:rsidR="00806E52" w:rsidRPr="00FF0BAC">
        <w:rPr>
          <w:sz w:val="24"/>
          <w:szCs w:val="24"/>
        </w:rPr>
        <w:t xml:space="preserve">w taki sposób, aby w każdej kategorii </w:t>
      </w:r>
      <w:r w:rsidR="000C5749" w:rsidRPr="00FF0BAC">
        <w:rPr>
          <w:sz w:val="24"/>
          <w:szCs w:val="24"/>
        </w:rPr>
        <w:t xml:space="preserve">punktowej </w:t>
      </w:r>
      <w:r w:rsidR="00E440AA" w:rsidRPr="00FF0BAC">
        <w:rPr>
          <w:sz w:val="24"/>
          <w:szCs w:val="24"/>
        </w:rPr>
        <w:t xml:space="preserve">odsetek </w:t>
      </w:r>
      <w:r w:rsidR="00806E52" w:rsidRPr="00FF0BAC">
        <w:rPr>
          <w:sz w:val="24"/>
          <w:szCs w:val="24"/>
        </w:rPr>
        <w:t xml:space="preserve">publikacji </w:t>
      </w:r>
      <w:r w:rsidR="00623194" w:rsidRPr="00FF0BAC">
        <w:rPr>
          <w:sz w:val="24"/>
          <w:szCs w:val="24"/>
        </w:rPr>
        <w:t xml:space="preserve">na świecie </w:t>
      </w:r>
      <w:r w:rsidR="00F54A9B" w:rsidRPr="00FF0BAC">
        <w:rPr>
          <w:sz w:val="24"/>
          <w:szCs w:val="24"/>
        </w:rPr>
        <w:t xml:space="preserve">w wybranym roku referencyjnym </w:t>
      </w:r>
      <w:r w:rsidR="00806E52" w:rsidRPr="00FF0BAC">
        <w:rPr>
          <w:sz w:val="24"/>
          <w:szCs w:val="24"/>
        </w:rPr>
        <w:t xml:space="preserve">był taki sam </w:t>
      </w:r>
      <w:r w:rsidR="00E440AA" w:rsidRPr="00FF0BAC">
        <w:rPr>
          <w:sz w:val="24"/>
          <w:szCs w:val="24"/>
        </w:rPr>
        <w:t xml:space="preserve">lub zbliżony </w:t>
      </w:r>
      <w:r w:rsidR="00806E52" w:rsidRPr="00FF0BAC">
        <w:rPr>
          <w:sz w:val="24"/>
          <w:szCs w:val="24"/>
        </w:rPr>
        <w:t>na wszystkich listac</w:t>
      </w:r>
      <w:r w:rsidR="00F54A9B" w:rsidRPr="00FF0BAC">
        <w:rPr>
          <w:sz w:val="24"/>
          <w:szCs w:val="24"/>
        </w:rPr>
        <w:t>h</w:t>
      </w:r>
      <w:r w:rsidR="00E440AA" w:rsidRPr="00FF0BAC">
        <w:rPr>
          <w:sz w:val="24"/>
          <w:szCs w:val="24"/>
        </w:rPr>
        <w:t xml:space="preserve">, </w:t>
      </w:r>
    </w:p>
    <w:p w:rsidR="00F54A9B" w:rsidRDefault="00F54A9B" w:rsidP="00F54A9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731E2" w:rsidRPr="00F54A9B">
        <w:rPr>
          <w:sz w:val="24"/>
          <w:szCs w:val="24"/>
        </w:rPr>
        <w:t xml:space="preserve">rzykładowo, </w:t>
      </w:r>
      <w:r w:rsidR="007731E2" w:rsidRPr="00900EEB">
        <w:rPr>
          <w:sz w:val="24"/>
          <w:szCs w:val="24"/>
        </w:rPr>
        <w:t>w ramach każdej z istniejących list czasopism pu</w:t>
      </w:r>
      <w:r w:rsidR="009E3B46" w:rsidRPr="00900EEB">
        <w:rPr>
          <w:sz w:val="24"/>
          <w:szCs w:val="24"/>
        </w:rPr>
        <w:t>n</w:t>
      </w:r>
      <w:r w:rsidR="007731E2" w:rsidRPr="00900EEB">
        <w:rPr>
          <w:sz w:val="24"/>
          <w:szCs w:val="24"/>
        </w:rPr>
        <w:t>ktowanych</w:t>
      </w:r>
      <w:r w:rsidR="009E3B46" w:rsidRPr="00F54A9B">
        <w:rPr>
          <w:sz w:val="24"/>
          <w:szCs w:val="24"/>
        </w:rPr>
        <w:t xml:space="preserve">, </w:t>
      </w:r>
      <w:r w:rsidR="00623194">
        <w:rPr>
          <w:sz w:val="24"/>
          <w:szCs w:val="24"/>
        </w:rPr>
        <w:t xml:space="preserve">można </w:t>
      </w:r>
      <w:r w:rsidR="00B467B4">
        <w:rPr>
          <w:sz w:val="24"/>
          <w:szCs w:val="24"/>
        </w:rPr>
        <w:t xml:space="preserve">byłoby </w:t>
      </w:r>
      <w:r w:rsidR="009E3B46" w:rsidRPr="00F54A9B">
        <w:rPr>
          <w:sz w:val="24"/>
          <w:szCs w:val="24"/>
        </w:rPr>
        <w:t>przyjąć następujące proporcje:</w:t>
      </w:r>
    </w:p>
    <w:p w:rsidR="00F54A9B" w:rsidRDefault="00623194" w:rsidP="00F54A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</w:t>
      </w:r>
      <w:r w:rsidR="007731E2" w:rsidRPr="00F54A9B">
        <w:rPr>
          <w:sz w:val="24"/>
          <w:szCs w:val="24"/>
        </w:rPr>
        <w:t>% najlepszych publikacji  – 200 pkt</w:t>
      </w:r>
      <w:r>
        <w:rPr>
          <w:sz w:val="24"/>
          <w:szCs w:val="24"/>
        </w:rPr>
        <w:t>,</w:t>
      </w:r>
    </w:p>
    <w:p w:rsidR="00F54A9B" w:rsidRDefault="00623194" w:rsidP="00F54A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0613F">
        <w:rPr>
          <w:sz w:val="24"/>
          <w:szCs w:val="24"/>
        </w:rPr>
        <w:t>0</w:t>
      </w:r>
      <w:r w:rsidR="007731E2">
        <w:rPr>
          <w:sz w:val="24"/>
          <w:szCs w:val="24"/>
        </w:rPr>
        <w:t>% kolejnych publikacji – 140pk</w:t>
      </w:r>
      <w:r>
        <w:rPr>
          <w:sz w:val="24"/>
          <w:szCs w:val="24"/>
        </w:rPr>
        <w:t>t,</w:t>
      </w:r>
    </w:p>
    <w:p w:rsidR="00F54A9B" w:rsidRDefault="009E3B46" w:rsidP="00F54A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</w:t>
      </w:r>
      <w:r w:rsidR="00623194">
        <w:rPr>
          <w:sz w:val="24"/>
          <w:szCs w:val="24"/>
        </w:rPr>
        <w:t>0</w:t>
      </w:r>
      <w:r w:rsidR="007731E2">
        <w:rPr>
          <w:sz w:val="24"/>
          <w:szCs w:val="24"/>
        </w:rPr>
        <w:t>% kolejnych publikacji  – 100pkt</w:t>
      </w:r>
      <w:r w:rsidR="00623194">
        <w:rPr>
          <w:sz w:val="24"/>
          <w:szCs w:val="24"/>
        </w:rPr>
        <w:t>,</w:t>
      </w:r>
    </w:p>
    <w:p w:rsidR="00F54A9B" w:rsidRDefault="00623194" w:rsidP="00F54A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</w:t>
      </w:r>
      <w:r w:rsidR="0020613F">
        <w:rPr>
          <w:sz w:val="24"/>
          <w:szCs w:val="24"/>
        </w:rPr>
        <w:t>0</w:t>
      </w:r>
      <w:r w:rsidR="007731E2">
        <w:rPr>
          <w:sz w:val="24"/>
          <w:szCs w:val="24"/>
        </w:rPr>
        <w:t>% kolejnych</w:t>
      </w:r>
      <w:r w:rsidR="009E3B46">
        <w:rPr>
          <w:sz w:val="24"/>
          <w:szCs w:val="24"/>
        </w:rPr>
        <w:t xml:space="preserve"> publikacji</w:t>
      </w:r>
      <w:r w:rsidR="007731E2">
        <w:rPr>
          <w:sz w:val="24"/>
          <w:szCs w:val="24"/>
        </w:rPr>
        <w:t xml:space="preserve"> – 70pkt, </w:t>
      </w:r>
    </w:p>
    <w:p w:rsidR="00F54A9B" w:rsidRDefault="000F700B" w:rsidP="00F54A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20</w:t>
      </w:r>
      <w:r w:rsidR="007731E2">
        <w:rPr>
          <w:sz w:val="24"/>
          <w:szCs w:val="24"/>
        </w:rPr>
        <w:t xml:space="preserve">% kolejnych </w:t>
      </w:r>
      <w:r w:rsidR="009E3B46">
        <w:rPr>
          <w:sz w:val="24"/>
          <w:szCs w:val="24"/>
        </w:rPr>
        <w:t xml:space="preserve">publikacji </w:t>
      </w:r>
      <w:r w:rsidR="007731E2">
        <w:rPr>
          <w:sz w:val="24"/>
          <w:szCs w:val="24"/>
        </w:rPr>
        <w:t>– 40pkt,</w:t>
      </w:r>
    </w:p>
    <w:p w:rsidR="00F54A9B" w:rsidRDefault="00623194" w:rsidP="00F54A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20</w:t>
      </w:r>
      <w:r w:rsidR="007731E2">
        <w:rPr>
          <w:sz w:val="24"/>
          <w:szCs w:val="24"/>
        </w:rPr>
        <w:t xml:space="preserve">% kolejnych </w:t>
      </w:r>
      <w:r w:rsidR="009E3B46">
        <w:rPr>
          <w:sz w:val="24"/>
          <w:szCs w:val="24"/>
        </w:rPr>
        <w:t xml:space="preserve">publikacji </w:t>
      </w:r>
      <w:r w:rsidR="007731E2">
        <w:rPr>
          <w:sz w:val="24"/>
          <w:szCs w:val="24"/>
        </w:rPr>
        <w:t xml:space="preserve">- 20pkt. </w:t>
      </w:r>
    </w:p>
    <w:p w:rsidR="00900EEB" w:rsidRDefault="007D2149" w:rsidP="00FA5C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dokonać ewentualn</w:t>
      </w:r>
      <w:r w:rsidR="00D514DE">
        <w:rPr>
          <w:sz w:val="24"/>
          <w:szCs w:val="24"/>
        </w:rPr>
        <w:t>ych</w:t>
      </w:r>
      <w:r>
        <w:rPr>
          <w:sz w:val="24"/>
          <w:szCs w:val="24"/>
        </w:rPr>
        <w:t xml:space="preserve"> korekt w przypadku </w:t>
      </w:r>
      <w:r w:rsidR="00326D75">
        <w:rPr>
          <w:sz w:val="24"/>
          <w:szCs w:val="24"/>
        </w:rPr>
        <w:t>(</w:t>
      </w:r>
      <w:r w:rsidR="00B467B4">
        <w:rPr>
          <w:sz w:val="24"/>
          <w:szCs w:val="24"/>
        </w:rPr>
        <w:t>stosunkowo niewielu</w:t>
      </w:r>
      <w:r w:rsidR="00326D75">
        <w:rPr>
          <w:sz w:val="24"/>
          <w:szCs w:val="24"/>
        </w:rPr>
        <w:t>)</w:t>
      </w:r>
      <w:r w:rsidR="00B467B4">
        <w:rPr>
          <w:sz w:val="24"/>
          <w:szCs w:val="24"/>
        </w:rPr>
        <w:t xml:space="preserve"> </w:t>
      </w:r>
      <w:r>
        <w:rPr>
          <w:sz w:val="24"/>
          <w:szCs w:val="24"/>
        </w:rPr>
        <w:t>czasopism z podwyższoną punktacją</w:t>
      </w:r>
      <w:r w:rsidR="00326D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 będzie miało niewielki wpływ na </w:t>
      </w:r>
      <w:r w:rsidR="00723D50">
        <w:rPr>
          <w:sz w:val="24"/>
          <w:szCs w:val="24"/>
        </w:rPr>
        <w:t xml:space="preserve">ostateczne </w:t>
      </w:r>
      <w:r>
        <w:rPr>
          <w:sz w:val="24"/>
          <w:szCs w:val="24"/>
        </w:rPr>
        <w:t>proporcj</w:t>
      </w:r>
      <w:r w:rsidR="00B467B4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:rsidR="00D12A85" w:rsidRPr="00606139" w:rsidRDefault="00606139" w:rsidP="00606139">
      <w:pPr>
        <w:rPr>
          <w:sz w:val="24"/>
          <w:szCs w:val="24"/>
        </w:rPr>
      </w:pPr>
      <w:r>
        <w:rPr>
          <w:sz w:val="24"/>
          <w:szCs w:val="24"/>
        </w:rPr>
        <w:t>Można też oczywiście przyjąć</w:t>
      </w:r>
      <w:r w:rsidR="00376561">
        <w:rPr>
          <w:sz w:val="24"/>
          <w:szCs w:val="24"/>
        </w:rPr>
        <w:t xml:space="preserve"> takie czy</w:t>
      </w:r>
      <w:r>
        <w:rPr>
          <w:sz w:val="24"/>
          <w:szCs w:val="24"/>
        </w:rPr>
        <w:t xml:space="preserve"> inne proporcje</w:t>
      </w:r>
      <w:r w:rsidR="00376561">
        <w:rPr>
          <w:sz w:val="24"/>
          <w:szCs w:val="24"/>
        </w:rPr>
        <w:t xml:space="preserve"> (np. bardziej </w:t>
      </w:r>
      <w:r w:rsidR="0093768D">
        <w:rPr>
          <w:sz w:val="24"/>
          <w:szCs w:val="24"/>
        </w:rPr>
        <w:t xml:space="preserve">wymagające </w:t>
      </w:r>
      <w:r w:rsidR="00376561">
        <w:rPr>
          <w:sz w:val="24"/>
          <w:szCs w:val="24"/>
        </w:rPr>
        <w:t>5%, 10%, 20%, 20%, 20%, 25%)</w:t>
      </w:r>
      <w:r>
        <w:rPr>
          <w:sz w:val="24"/>
          <w:szCs w:val="24"/>
        </w:rPr>
        <w:t xml:space="preserve">, ale najważniejsza jest jednolitość zasad. </w:t>
      </w:r>
    </w:p>
    <w:p w:rsidR="005A22D4" w:rsidRDefault="00D12AD2">
      <w:p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A5C57" w:rsidRPr="00FA5C57">
        <w:rPr>
          <w:i/>
          <w:sz w:val="24"/>
          <w:szCs w:val="24"/>
        </w:rPr>
        <w:t>rof. dr hab. Romuald Lenczewski, Wydział Matematyki, Politechnika Wrocławska</w:t>
      </w:r>
      <w:r w:rsidR="003B3B9F">
        <w:rPr>
          <w:i/>
          <w:sz w:val="24"/>
          <w:szCs w:val="24"/>
        </w:rPr>
        <w:t xml:space="preserve">, 2024. </w:t>
      </w:r>
    </w:p>
    <w:p w:rsidR="00531242" w:rsidRPr="005A22D4" w:rsidRDefault="005A22D4">
      <w:pPr>
        <w:rPr>
          <w:i/>
          <w:sz w:val="24"/>
          <w:szCs w:val="24"/>
        </w:rPr>
      </w:pPr>
      <w:r>
        <w:rPr>
          <w:i/>
          <w:sz w:val="24"/>
          <w:szCs w:val="24"/>
        </w:rPr>
        <w:t>Tekst powstał</w:t>
      </w:r>
      <w:r w:rsidR="003B3B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 w:rsidR="007B3999">
        <w:rPr>
          <w:i/>
          <w:sz w:val="24"/>
          <w:szCs w:val="24"/>
        </w:rPr>
        <w:t xml:space="preserve">podstawie poniższej </w:t>
      </w:r>
      <w:r w:rsidR="00FA5C57" w:rsidRPr="00FA5C57">
        <w:rPr>
          <w:i/>
          <w:sz w:val="24"/>
          <w:szCs w:val="24"/>
        </w:rPr>
        <w:t>analiz</w:t>
      </w:r>
      <w:r w:rsidR="007B3999">
        <w:rPr>
          <w:i/>
          <w:sz w:val="24"/>
          <w:szCs w:val="24"/>
        </w:rPr>
        <w:t>y</w:t>
      </w:r>
      <w:r w:rsidR="00FA5C57" w:rsidRPr="00FA5C57">
        <w:rPr>
          <w:i/>
          <w:sz w:val="24"/>
          <w:szCs w:val="24"/>
        </w:rPr>
        <w:t xml:space="preserve"> publikacji wykonan</w:t>
      </w:r>
      <w:r w:rsidR="007B3999">
        <w:rPr>
          <w:i/>
          <w:sz w:val="24"/>
          <w:szCs w:val="24"/>
        </w:rPr>
        <w:t>ej</w:t>
      </w:r>
      <w:r w:rsidR="00FA5C57" w:rsidRPr="00FA5C57">
        <w:rPr>
          <w:i/>
          <w:sz w:val="24"/>
          <w:szCs w:val="24"/>
        </w:rPr>
        <w:t xml:space="preserve"> </w:t>
      </w:r>
      <w:r w:rsidR="00E440AA">
        <w:rPr>
          <w:i/>
          <w:sz w:val="24"/>
          <w:szCs w:val="24"/>
        </w:rPr>
        <w:t xml:space="preserve">w roku 2020 </w:t>
      </w:r>
      <w:r w:rsidR="00FA5C57" w:rsidRPr="00FA5C57">
        <w:rPr>
          <w:i/>
          <w:sz w:val="24"/>
          <w:szCs w:val="24"/>
        </w:rPr>
        <w:t>we współpracy z</w:t>
      </w:r>
      <w:r w:rsidR="00FA4CA3">
        <w:rPr>
          <w:i/>
          <w:sz w:val="24"/>
          <w:szCs w:val="24"/>
        </w:rPr>
        <w:t xml:space="preserve"> p</w:t>
      </w:r>
      <w:r w:rsidR="00FA5C57" w:rsidRPr="00FA5C57">
        <w:rPr>
          <w:i/>
          <w:sz w:val="24"/>
          <w:szCs w:val="24"/>
        </w:rPr>
        <w:t xml:space="preserve">rof. dr hab. Tomaszem </w:t>
      </w:r>
      <w:proofErr w:type="spellStart"/>
      <w:r w:rsidR="00FA5C57" w:rsidRPr="00FA5C57">
        <w:rPr>
          <w:i/>
          <w:sz w:val="24"/>
          <w:szCs w:val="24"/>
        </w:rPr>
        <w:t>Downarowiczem</w:t>
      </w:r>
      <w:proofErr w:type="spellEnd"/>
      <w:r w:rsidR="00FA5C57" w:rsidRPr="00FA5C57">
        <w:rPr>
          <w:i/>
          <w:sz w:val="24"/>
          <w:szCs w:val="24"/>
        </w:rPr>
        <w:t xml:space="preserve"> i dr hab. Jackiem Serafinem z Wydziału Matematyki Politechniki Wrocławskiej</w:t>
      </w:r>
      <w:r w:rsidR="007B3999">
        <w:rPr>
          <w:i/>
          <w:sz w:val="24"/>
          <w:szCs w:val="24"/>
        </w:rPr>
        <w:t xml:space="preserve"> w oparciu</w:t>
      </w:r>
      <w:r w:rsidR="00E440AA">
        <w:rPr>
          <w:i/>
          <w:sz w:val="24"/>
          <w:szCs w:val="24"/>
        </w:rPr>
        <w:t xml:space="preserve"> </w:t>
      </w:r>
      <w:r w:rsidR="007B3999">
        <w:rPr>
          <w:i/>
          <w:sz w:val="24"/>
          <w:szCs w:val="24"/>
        </w:rPr>
        <w:t xml:space="preserve">o </w:t>
      </w:r>
      <w:r w:rsidR="00E440AA">
        <w:rPr>
          <w:i/>
          <w:sz w:val="24"/>
          <w:szCs w:val="24"/>
        </w:rPr>
        <w:t>dan</w:t>
      </w:r>
      <w:r w:rsidR="007B3999">
        <w:rPr>
          <w:i/>
          <w:sz w:val="24"/>
          <w:szCs w:val="24"/>
        </w:rPr>
        <w:t>e</w:t>
      </w:r>
      <w:r w:rsidR="00E440AA">
        <w:rPr>
          <w:i/>
          <w:sz w:val="24"/>
          <w:szCs w:val="24"/>
        </w:rPr>
        <w:t xml:space="preserve"> </w:t>
      </w:r>
      <w:proofErr w:type="spellStart"/>
      <w:r w:rsidR="00E440AA">
        <w:rPr>
          <w:i/>
          <w:sz w:val="24"/>
          <w:szCs w:val="24"/>
        </w:rPr>
        <w:t>bibliometryczn</w:t>
      </w:r>
      <w:r w:rsidR="005B6E8F">
        <w:rPr>
          <w:i/>
          <w:sz w:val="24"/>
          <w:szCs w:val="24"/>
        </w:rPr>
        <w:t>e</w:t>
      </w:r>
      <w:proofErr w:type="spellEnd"/>
      <w:r w:rsidR="00E440AA">
        <w:rPr>
          <w:i/>
          <w:sz w:val="24"/>
          <w:szCs w:val="24"/>
        </w:rPr>
        <w:t xml:space="preserve"> o</w:t>
      </w:r>
      <w:r w:rsidR="005B6E8F">
        <w:rPr>
          <w:i/>
          <w:sz w:val="24"/>
          <w:szCs w:val="24"/>
        </w:rPr>
        <w:t>pracowane</w:t>
      </w:r>
      <w:r w:rsidR="00E440AA">
        <w:rPr>
          <w:i/>
          <w:sz w:val="24"/>
          <w:szCs w:val="24"/>
        </w:rPr>
        <w:t xml:space="preserve"> </w:t>
      </w:r>
      <w:r w:rsidR="005B6E8F">
        <w:rPr>
          <w:i/>
          <w:sz w:val="24"/>
          <w:szCs w:val="24"/>
        </w:rPr>
        <w:t>przez</w:t>
      </w:r>
      <w:r w:rsidR="00E440AA">
        <w:rPr>
          <w:i/>
          <w:sz w:val="24"/>
          <w:szCs w:val="24"/>
        </w:rPr>
        <w:t xml:space="preserve"> </w:t>
      </w:r>
      <w:r w:rsidR="00FA5C57" w:rsidRPr="00FA5C57">
        <w:rPr>
          <w:i/>
          <w:sz w:val="24"/>
          <w:szCs w:val="24"/>
        </w:rPr>
        <w:t>Pani</w:t>
      </w:r>
      <w:r w:rsidR="005B6E8F">
        <w:rPr>
          <w:i/>
          <w:sz w:val="24"/>
          <w:szCs w:val="24"/>
        </w:rPr>
        <w:t>ą</w:t>
      </w:r>
      <w:r w:rsidR="00FA5C57" w:rsidRPr="00FA5C57">
        <w:rPr>
          <w:i/>
          <w:sz w:val="24"/>
          <w:szCs w:val="24"/>
        </w:rPr>
        <w:t xml:space="preserve"> mgr Ann</w:t>
      </w:r>
      <w:r w:rsidR="005B6E8F">
        <w:rPr>
          <w:i/>
          <w:sz w:val="24"/>
          <w:szCs w:val="24"/>
        </w:rPr>
        <w:t>ę</w:t>
      </w:r>
      <w:r w:rsidR="00FA5C57" w:rsidRPr="00FA5C57">
        <w:rPr>
          <w:i/>
          <w:sz w:val="24"/>
          <w:szCs w:val="24"/>
        </w:rPr>
        <w:t xml:space="preserve"> </w:t>
      </w:r>
      <w:proofErr w:type="spellStart"/>
      <w:r w:rsidR="00FA5C57" w:rsidRPr="00FA5C57">
        <w:rPr>
          <w:i/>
          <w:sz w:val="24"/>
          <w:szCs w:val="24"/>
        </w:rPr>
        <w:t>Komperd</w:t>
      </w:r>
      <w:r w:rsidR="005B6E8F">
        <w:rPr>
          <w:i/>
          <w:sz w:val="24"/>
          <w:szCs w:val="24"/>
        </w:rPr>
        <w:t>ę</w:t>
      </w:r>
      <w:proofErr w:type="spellEnd"/>
      <w:r w:rsidR="00900EEB">
        <w:rPr>
          <w:i/>
          <w:sz w:val="24"/>
          <w:szCs w:val="24"/>
        </w:rPr>
        <w:t xml:space="preserve"> z</w:t>
      </w:r>
      <w:r w:rsidR="00A06F7B">
        <w:rPr>
          <w:i/>
          <w:sz w:val="24"/>
          <w:szCs w:val="24"/>
        </w:rPr>
        <w:t xml:space="preserve"> Sekcj</w:t>
      </w:r>
      <w:r w:rsidR="00900EEB">
        <w:rPr>
          <w:i/>
          <w:sz w:val="24"/>
          <w:szCs w:val="24"/>
        </w:rPr>
        <w:t>i</w:t>
      </w:r>
      <w:r w:rsidR="00A06F7B">
        <w:rPr>
          <w:i/>
          <w:sz w:val="24"/>
          <w:szCs w:val="24"/>
        </w:rPr>
        <w:t xml:space="preserve"> Dorobku Naukowego </w:t>
      </w:r>
      <w:r w:rsidR="00FA5C57" w:rsidRPr="00FA5C57">
        <w:rPr>
          <w:i/>
          <w:sz w:val="24"/>
          <w:szCs w:val="24"/>
        </w:rPr>
        <w:t>Bibliotek</w:t>
      </w:r>
      <w:r w:rsidR="00900EEB">
        <w:rPr>
          <w:i/>
          <w:sz w:val="24"/>
          <w:szCs w:val="24"/>
        </w:rPr>
        <w:t>i</w:t>
      </w:r>
      <w:r w:rsidR="00FA5C57" w:rsidRPr="00FA5C57">
        <w:rPr>
          <w:i/>
          <w:sz w:val="24"/>
          <w:szCs w:val="24"/>
        </w:rPr>
        <w:t xml:space="preserve"> Główn</w:t>
      </w:r>
      <w:r w:rsidR="00900EEB">
        <w:rPr>
          <w:i/>
          <w:sz w:val="24"/>
          <w:szCs w:val="24"/>
        </w:rPr>
        <w:t>ej</w:t>
      </w:r>
      <w:r w:rsidR="00FA5C57" w:rsidRPr="00FA5C57">
        <w:rPr>
          <w:i/>
          <w:sz w:val="24"/>
          <w:szCs w:val="24"/>
        </w:rPr>
        <w:t xml:space="preserve"> Politechniki Wrocławskiej</w:t>
      </w:r>
      <w:r>
        <w:rPr>
          <w:i/>
          <w:sz w:val="24"/>
          <w:szCs w:val="24"/>
        </w:rPr>
        <w:t>.</w:t>
      </w:r>
    </w:p>
    <w:p w:rsidR="00AA68B1" w:rsidRPr="00E440AA" w:rsidRDefault="00360B57">
      <w:pPr>
        <w:rPr>
          <w:b/>
          <w:sz w:val="32"/>
          <w:szCs w:val="32"/>
        </w:rPr>
      </w:pPr>
      <w:r w:rsidRPr="00531242">
        <w:rPr>
          <w:b/>
          <w:sz w:val="32"/>
          <w:szCs w:val="32"/>
        </w:rPr>
        <w:t>Publikacje punktowane</w:t>
      </w:r>
      <w:r w:rsidR="00531242">
        <w:rPr>
          <w:b/>
          <w:sz w:val="32"/>
          <w:szCs w:val="32"/>
        </w:rPr>
        <w:t xml:space="preserve"> </w:t>
      </w:r>
      <w:r w:rsidRPr="00531242">
        <w:rPr>
          <w:b/>
          <w:sz w:val="32"/>
          <w:szCs w:val="32"/>
        </w:rPr>
        <w:t>na 3 listach czasopism</w:t>
      </w:r>
      <w:r w:rsidR="00531242">
        <w:rPr>
          <w:b/>
          <w:sz w:val="32"/>
          <w:szCs w:val="32"/>
        </w:rPr>
        <w:t xml:space="preserve"> w roku 2020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2496"/>
        <w:gridCol w:w="1516"/>
        <w:gridCol w:w="1825"/>
      </w:tblGrid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Nauki Fizyczne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Nauki Chemiczne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Liczba publikacji za 200 pkt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3773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38949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107976</w:t>
            </w:r>
          </w:p>
        </w:tc>
      </w:tr>
      <w:tr w:rsidR="00360B57" w:rsidRPr="00360B57" w:rsidTr="004D38D4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FA5C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360B57"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rocentowo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3,28%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8,02%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11,30%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Liczba publikacji za 140 pkt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9743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109960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220157</w:t>
            </w:r>
          </w:p>
        </w:tc>
      </w:tr>
      <w:tr w:rsidR="00360B57" w:rsidRPr="00360B57" w:rsidTr="004D38D4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FA5C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360B57"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rocentowo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8,47%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22,63%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23,04%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Liczba publikacji za 100 pkt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23825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117673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271162</w:t>
            </w:r>
          </w:p>
        </w:tc>
      </w:tr>
      <w:tr w:rsidR="00360B57" w:rsidRPr="00360B57" w:rsidTr="004D38D4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FA5C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360B57"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rocentowo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20,71%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24,22%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28,38%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Liczba publikacji za 70 pkt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28203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114044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212545</w:t>
            </w:r>
          </w:p>
        </w:tc>
      </w:tr>
      <w:tr w:rsidR="00360B57" w:rsidRPr="00360B57" w:rsidTr="004D38D4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FA5C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360B57"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rocentowo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24,51%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23,47%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22,25%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Liczba publikacji za 40 pkt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23421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56514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79703</w:t>
            </w:r>
          </w:p>
        </w:tc>
      </w:tr>
      <w:tr w:rsidR="00360B57" w:rsidRPr="00360B57" w:rsidTr="004D38D4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FA5C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360B57"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rocentowo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20,36%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11,63%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8,34%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Liczba publikacji za 20 pkt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26096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48685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63917</w:t>
            </w:r>
          </w:p>
        </w:tc>
      </w:tr>
      <w:tr w:rsidR="00360B57" w:rsidRPr="00360B57" w:rsidTr="004D38D4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FA5C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360B57"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rocentowo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22,68%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10,02%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6,69%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Liczba wszystkich publikacji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115061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485825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B57">
              <w:rPr>
                <w:rFonts w:ascii="Calibri" w:eastAsia="Times New Roman" w:hAnsi="Calibri" w:cs="Calibri"/>
                <w:color w:val="000000"/>
                <w:lang w:eastAsia="pl-PL"/>
              </w:rPr>
              <w:t>955460</w:t>
            </w:r>
          </w:p>
        </w:tc>
      </w:tr>
      <w:tr w:rsidR="00360B57" w:rsidRPr="00360B57" w:rsidTr="00360B57">
        <w:trPr>
          <w:trHeight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57" w:rsidRPr="00360B57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4D38D4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D38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100,00%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4D38D4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D38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100,00%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57" w:rsidRPr="004D38D4" w:rsidRDefault="00360B57" w:rsidP="0036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D38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100,00%</w:t>
            </w:r>
          </w:p>
        </w:tc>
      </w:tr>
    </w:tbl>
    <w:p w:rsidR="00AA68B1" w:rsidRDefault="00AA68B1"/>
    <w:p w:rsidR="004D38D4" w:rsidRDefault="004D38D4">
      <w:r>
        <w:rPr>
          <w:noProof/>
        </w:rPr>
        <w:drawing>
          <wp:inline distT="0" distB="0" distL="0" distR="0" wp14:anchorId="5BA4F544" wp14:editId="62620FA9">
            <wp:extent cx="5760720" cy="3308985"/>
            <wp:effectExtent l="0" t="0" r="0" b="571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91ED29A9-958D-4D04-8188-6AB35396F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D38D4" w:rsidSect="004D38D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60" w:rsidRDefault="00592060" w:rsidP="00C80FA1">
      <w:pPr>
        <w:spacing w:after="0" w:line="240" w:lineRule="auto"/>
      </w:pPr>
      <w:r>
        <w:separator/>
      </w:r>
    </w:p>
  </w:endnote>
  <w:endnote w:type="continuationSeparator" w:id="0">
    <w:p w:rsidR="00592060" w:rsidRDefault="00592060" w:rsidP="00C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60" w:rsidRDefault="00592060" w:rsidP="00C80FA1">
      <w:pPr>
        <w:spacing w:after="0" w:line="240" w:lineRule="auto"/>
      </w:pPr>
      <w:r>
        <w:separator/>
      </w:r>
    </w:p>
  </w:footnote>
  <w:footnote w:type="continuationSeparator" w:id="0">
    <w:p w:rsidR="00592060" w:rsidRDefault="00592060" w:rsidP="00C8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7689"/>
    <w:multiLevelType w:val="hybridMultilevel"/>
    <w:tmpl w:val="621A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5D24"/>
    <w:multiLevelType w:val="hybridMultilevel"/>
    <w:tmpl w:val="A5D8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57"/>
    <w:rsid w:val="000247F1"/>
    <w:rsid w:val="00035C04"/>
    <w:rsid w:val="00037DA8"/>
    <w:rsid w:val="000C5749"/>
    <w:rsid w:val="000E7DF3"/>
    <w:rsid w:val="000F700B"/>
    <w:rsid w:val="00121072"/>
    <w:rsid w:val="00130F3A"/>
    <w:rsid w:val="0013346A"/>
    <w:rsid w:val="0020613F"/>
    <w:rsid w:val="002344DF"/>
    <w:rsid w:val="002E31CC"/>
    <w:rsid w:val="002E3463"/>
    <w:rsid w:val="00322F61"/>
    <w:rsid w:val="00326D75"/>
    <w:rsid w:val="00330146"/>
    <w:rsid w:val="00360B57"/>
    <w:rsid w:val="00376561"/>
    <w:rsid w:val="003B154C"/>
    <w:rsid w:val="003B3B9F"/>
    <w:rsid w:val="003C2788"/>
    <w:rsid w:val="003C6BB8"/>
    <w:rsid w:val="003D17F1"/>
    <w:rsid w:val="003E73B6"/>
    <w:rsid w:val="003F08CF"/>
    <w:rsid w:val="00405E3D"/>
    <w:rsid w:val="004528AA"/>
    <w:rsid w:val="00462CDC"/>
    <w:rsid w:val="004644A6"/>
    <w:rsid w:val="004D38D4"/>
    <w:rsid w:val="005059B0"/>
    <w:rsid w:val="00531242"/>
    <w:rsid w:val="00531B37"/>
    <w:rsid w:val="0054714D"/>
    <w:rsid w:val="00592060"/>
    <w:rsid w:val="005A22D4"/>
    <w:rsid w:val="005B5860"/>
    <w:rsid w:val="005B6E8F"/>
    <w:rsid w:val="005E3D43"/>
    <w:rsid w:val="005F0ED3"/>
    <w:rsid w:val="00606139"/>
    <w:rsid w:val="006069B6"/>
    <w:rsid w:val="00623194"/>
    <w:rsid w:val="006A306E"/>
    <w:rsid w:val="006B1F27"/>
    <w:rsid w:val="006E09CC"/>
    <w:rsid w:val="00723D50"/>
    <w:rsid w:val="00726DD2"/>
    <w:rsid w:val="00761EA2"/>
    <w:rsid w:val="007731E2"/>
    <w:rsid w:val="00790793"/>
    <w:rsid w:val="007B0CC1"/>
    <w:rsid w:val="007B3999"/>
    <w:rsid w:val="007D2149"/>
    <w:rsid w:val="007E234C"/>
    <w:rsid w:val="007E49A7"/>
    <w:rsid w:val="00806E52"/>
    <w:rsid w:val="00825ACE"/>
    <w:rsid w:val="00827F0C"/>
    <w:rsid w:val="00832551"/>
    <w:rsid w:val="0083273E"/>
    <w:rsid w:val="00851A28"/>
    <w:rsid w:val="00852C72"/>
    <w:rsid w:val="0088017B"/>
    <w:rsid w:val="008E35DC"/>
    <w:rsid w:val="008F33B1"/>
    <w:rsid w:val="00900EEB"/>
    <w:rsid w:val="0093768D"/>
    <w:rsid w:val="0094175A"/>
    <w:rsid w:val="00985570"/>
    <w:rsid w:val="00987E16"/>
    <w:rsid w:val="009A00D4"/>
    <w:rsid w:val="009A7716"/>
    <w:rsid w:val="009E3B46"/>
    <w:rsid w:val="00A021B6"/>
    <w:rsid w:val="00A06F7B"/>
    <w:rsid w:val="00A448AF"/>
    <w:rsid w:val="00A638B8"/>
    <w:rsid w:val="00A67DF9"/>
    <w:rsid w:val="00AA68B1"/>
    <w:rsid w:val="00AB51F3"/>
    <w:rsid w:val="00AB5FFB"/>
    <w:rsid w:val="00AC549E"/>
    <w:rsid w:val="00AE0D06"/>
    <w:rsid w:val="00B11C2A"/>
    <w:rsid w:val="00B20019"/>
    <w:rsid w:val="00B467B4"/>
    <w:rsid w:val="00B50782"/>
    <w:rsid w:val="00B719BF"/>
    <w:rsid w:val="00BA7AD2"/>
    <w:rsid w:val="00BB0801"/>
    <w:rsid w:val="00C41E4E"/>
    <w:rsid w:val="00C4421B"/>
    <w:rsid w:val="00C62954"/>
    <w:rsid w:val="00C80FA1"/>
    <w:rsid w:val="00CE2FE3"/>
    <w:rsid w:val="00D00082"/>
    <w:rsid w:val="00D00CD7"/>
    <w:rsid w:val="00D12A85"/>
    <w:rsid w:val="00D12AD2"/>
    <w:rsid w:val="00D47183"/>
    <w:rsid w:val="00D47AA9"/>
    <w:rsid w:val="00D514DE"/>
    <w:rsid w:val="00D7347B"/>
    <w:rsid w:val="00DB2524"/>
    <w:rsid w:val="00DC7774"/>
    <w:rsid w:val="00DC7844"/>
    <w:rsid w:val="00E440AA"/>
    <w:rsid w:val="00E511F6"/>
    <w:rsid w:val="00E53B8D"/>
    <w:rsid w:val="00ED263F"/>
    <w:rsid w:val="00EE4C69"/>
    <w:rsid w:val="00EF11B0"/>
    <w:rsid w:val="00F37609"/>
    <w:rsid w:val="00F54A9B"/>
    <w:rsid w:val="00F6558F"/>
    <w:rsid w:val="00FA4CA3"/>
    <w:rsid w:val="00FA5C57"/>
    <w:rsid w:val="00FA7FF9"/>
    <w:rsid w:val="00FD5013"/>
    <w:rsid w:val="00FF0BA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08B3"/>
  <w15:chartTrackingRefBased/>
  <w15:docId w15:val="{20C7379F-9602-4A03-A45C-F86F370E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E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F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F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wnar\Desktop\S&#322;upk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 sz="1300"/>
              <a:t>Rozkład punktacji artykułów na całym świecie w roku 2020 w trzech głównych dyscyplinach nauk ścisłych </a:t>
            </a:r>
          </a:p>
          <a:p>
            <a:pPr>
              <a:defRPr/>
            </a:pPr>
            <a:r>
              <a:rPr lang="pl-PL" sz="1200"/>
              <a:t>(każda dyscyplina jest unormowana do 100%)</a:t>
            </a:r>
          </a:p>
        </c:rich>
      </c:tx>
      <c:layout>
        <c:manualLayout>
          <c:xMode val="edge"/>
          <c:yMode val="edge"/>
          <c:x val="0.10733467344359733"/>
          <c:y val="3.09463475960150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200 p.</c:v>
                </c:pt>
                <c:pt idx="1">
                  <c:v>140 p.</c:v>
                </c:pt>
                <c:pt idx="2">
                  <c:v>100 p.</c:v>
                </c:pt>
                <c:pt idx="3">
                  <c:v>70 p.</c:v>
                </c:pt>
                <c:pt idx="4">
                  <c:v>40 p.</c:v>
                </c:pt>
                <c:pt idx="5">
                  <c:v>20 p.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3.2800000000000003E-2</c:v>
                </c:pt>
                <c:pt idx="1">
                  <c:v>8.4699999999999998E-2</c:v>
                </c:pt>
                <c:pt idx="2">
                  <c:v>0.20710000000000001</c:v>
                </c:pt>
                <c:pt idx="3">
                  <c:v>0.24510000000000001</c:v>
                </c:pt>
                <c:pt idx="4">
                  <c:v>0.2036</c:v>
                </c:pt>
                <c:pt idx="5">
                  <c:v>0.2268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B-4FCB-B844-AF4DC1C557A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nauki fizyczne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200 p.</c:v>
                </c:pt>
                <c:pt idx="1">
                  <c:v>140 p.</c:v>
                </c:pt>
                <c:pt idx="2">
                  <c:v>100 p.</c:v>
                </c:pt>
                <c:pt idx="3">
                  <c:v>70 p.</c:v>
                </c:pt>
                <c:pt idx="4">
                  <c:v>40 p.</c:v>
                </c:pt>
                <c:pt idx="5">
                  <c:v>20 p.</c:v>
                </c:pt>
              </c:strCache>
            </c:strRef>
          </c:cat>
          <c:val>
            <c:numRef>
              <c:f>Arkusz1!$C$2:$C$7</c:f>
              <c:numCache>
                <c:formatCode>0.00%</c:formatCode>
                <c:ptCount val="6"/>
                <c:pt idx="0">
                  <c:v>8.0199999999999994E-2</c:v>
                </c:pt>
                <c:pt idx="1">
                  <c:v>0.2263</c:v>
                </c:pt>
                <c:pt idx="2">
                  <c:v>0.2422</c:v>
                </c:pt>
                <c:pt idx="3">
                  <c:v>0.23469999999999999</c:v>
                </c:pt>
                <c:pt idx="4">
                  <c:v>0.1163</c:v>
                </c:pt>
                <c:pt idx="5">
                  <c:v>0.1002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AB-4FCB-B844-AF4DC1C557A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nauki chemiczne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200 p.</c:v>
                </c:pt>
                <c:pt idx="1">
                  <c:v>140 p.</c:v>
                </c:pt>
                <c:pt idx="2">
                  <c:v>100 p.</c:v>
                </c:pt>
                <c:pt idx="3">
                  <c:v>70 p.</c:v>
                </c:pt>
                <c:pt idx="4">
                  <c:v>40 p.</c:v>
                </c:pt>
                <c:pt idx="5">
                  <c:v>20 p.</c:v>
                </c:pt>
              </c:strCache>
            </c:strRef>
          </c:cat>
          <c:val>
            <c:numRef>
              <c:f>Arkusz1!$D$2:$D$7</c:f>
              <c:numCache>
                <c:formatCode>0.00%</c:formatCode>
                <c:ptCount val="6"/>
                <c:pt idx="0">
                  <c:v>0.113</c:v>
                </c:pt>
                <c:pt idx="1">
                  <c:v>0.23039999999999999</c:v>
                </c:pt>
                <c:pt idx="2">
                  <c:v>0.2838</c:v>
                </c:pt>
                <c:pt idx="3">
                  <c:v>0.2225</c:v>
                </c:pt>
                <c:pt idx="4">
                  <c:v>8.3400000000000002E-2</c:v>
                </c:pt>
                <c:pt idx="5">
                  <c:v>6.6900000000000001E-2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AB-4FCB-B844-AF4DC1C55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7241599"/>
        <c:axId val="1342140959"/>
        <c:axId val="0"/>
      </c:bar3DChart>
      <c:catAx>
        <c:axId val="141724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42140959"/>
        <c:crosses val="autoZero"/>
        <c:auto val="1"/>
        <c:lblAlgn val="ctr"/>
        <c:lblOffset val="100"/>
        <c:noMultiLvlLbl val="0"/>
      </c:catAx>
      <c:valAx>
        <c:axId val="13421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17241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lenczew</dc:creator>
  <cp:keywords/>
  <dc:description/>
  <cp:lastModifiedBy>lenczew</cp:lastModifiedBy>
  <cp:revision>6</cp:revision>
  <dcterms:created xsi:type="dcterms:W3CDTF">2024-01-14T19:40:00Z</dcterms:created>
  <dcterms:modified xsi:type="dcterms:W3CDTF">2024-01-15T07:51:00Z</dcterms:modified>
</cp:coreProperties>
</file>